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7E0" w:rsidRPr="005007E0" w:rsidRDefault="005007E0" w:rsidP="005007E0">
      <w:pPr>
        <w:jc w:val="center"/>
        <w:rPr>
          <w:b/>
          <w:sz w:val="28"/>
          <w:szCs w:val="28"/>
          <w:lang w:val="en-GB" w:eastAsia="de-DE"/>
        </w:rPr>
      </w:pPr>
      <w:r w:rsidRPr="005007E0">
        <w:rPr>
          <w:b/>
          <w:sz w:val="28"/>
          <w:szCs w:val="28"/>
          <w:lang w:val="en-GB" w:eastAsia="de-DE"/>
        </w:rPr>
        <w:t>Request for Donor Funding</w:t>
      </w:r>
    </w:p>
    <w:p w:rsidR="00C151C8" w:rsidRDefault="009854FE" w:rsidP="009854FE">
      <w:pPr>
        <w:pStyle w:val="TitelI"/>
        <w:jc w:val="center"/>
        <w:rPr>
          <w:lang w:val="en-GB"/>
        </w:rPr>
      </w:pPr>
      <w:r>
        <w:rPr>
          <w:lang w:val="en-GB"/>
        </w:rPr>
        <w:t>Southeast and Central Europe Catastrophe Insurance Facility</w:t>
      </w:r>
    </w:p>
    <w:p w:rsidR="009854FE" w:rsidRDefault="009854FE" w:rsidP="009854FE">
      <w:pPr>
        <w:rPr>
          <w:lang w:val="en-GB" w:eastAsia="de-DE"/>
        </w:rPr>
      </w:pPr>
    </w:p>
    <w:p w:rsidR="0006499B" w:rsidRPr="009854FE" w:rsidRDefault="0006499B" w:rsidP="009854FE">
      <w:pPr>
        <w:rPr>
          <w:lang w:val="en-GB" w:eastAsia="de-DE"/>
        </w:rPr>
      </w:pPr>
    </w:p>
    <w:tbl>
      <w:tblPr>
        <w:tblW w:w="9127" w:type="dxa"/>
        <w:tblInd w:w="70" w:type="dxa"/>
        <w:tblLayout w:type="fixed"/>
        <w:tblCellMar>
          <w:left w:w="70" w:type="dxa"/>
          <w:right w:w="70" w:type="dxa"/>
        </w:tblCellMar>
        <w:tblLook w:val="0000"/>
      </w:tblPr>
      <w:tblGrid>
        <w:gridCol w:w="4395"/>
        <w:gridCol w:w="4732"/>
      </w:tblGrid>
      <w:tr w:rsidR="00C151C8">
        <w:trPr>
          <w:trHeight w:val="320"/>
        </w:trPr>
        <w:tc>
          <w:tcPr>
            <w:tcW w:w="4395" w:type="dxa"/>
          </w:tcPr>
          <w:p w:rsidR="00C151C8" w:rsidRDefault="00342FF1">
            <w:pPr>
              <w:pStyle w:val="Footer"/>
              <w:spacing w:before="20" w:after="20"/>
              <w:rPr>
                <w:sz w:val="22"/>
                <w:lang w:val="en-GB"/>
              </w:rPr>
            </w:pPr>
            <w:r>
              <w:rPr>
                <w:sz w:val="22"/>
                <w:lang w:val="en-GB"/>
              </w:rPr>
              <w:t>Program</w:t>
            </w:r>
            <w:r w:rsidR="00C151C8">
              <w:rPr>
                <w:sz w:val="22"/>
                <w:lang w:val="en-GB"/>
              </w:rPr>
              <w:t xml:space="preserve"> title:</w:t>
            </w:r>
          </w:p>
        </w:tc>
        <w:tc>
          <w:tcPr>
            <w:tcW w:w="4732" w:type="dxa"/>
            <w:vAlign w:val="center"/>
          </w:tcPr>
          <w:p w:rsidR="00C151C8" w:rsidRDefault="00440DDC" w:rsidP="003C310F">
            <w:pPr>
              <w:widowControl w:val="0"/>
              <w:spacing w:before="0" w:line="240" w:lineRule="auto"/>
              <w:rPr>
                <w:rFonts w:cs="Arial"/>
                <w:lang w:val="en-GB"/>
              </w:rPr>
            </w:pPr>
            <w:r>
              <w:rPr>
                <w:rFonts w:cs="Arial"/>
                <w:lang w:val="en-US"/>
              </w:rPr>
              <w:t>Southe</w:t>
            </w:r>
            <w:r w:rsidR="00A20230" w:rsidRPr="00A20230">
              <w:rPr>
                <w:rFonts w:cs="Arial"/>
                <w:lang w:val="en-US"/>
              </w:rPr>
              <w:t xml:space="preserve">astern and Central Europe Catastrophe Risk Insurance Facility </w:t>
            </w:r>
          </w:p>
        </w:tc>
      </w:tr>
      <w:tr w:rsidR="00C151C8" w:rsidRPr="00FB0ED5">
        <w:trPr>
          <w:trHeight w:val="320"/>
        </w:trPr>
        <w:tc>
          <w:tcPr>
            <w:tcW w:w="4395" w:type="dxa"/>
          </w:tcPr>
          <w:p w:rsidR="00C151C8" w:rsidRDefault="00C151C8">
            <w:pPr>
              <w:spacing w:before="20" w:after="20"/>
              <w:rPr>
                <w:lang w:val="en-GB"/>
              </w:rPr>
            </w:pPr>
            <w:r>
              <w:rPr>
                <w:lang w:val="en-GB"/>
              </w:rPr>
              <w:t>Country / region:</w:t>
            </w:r>
          </w:p>
        </w:tc>
        <w:tc>
          <w:tcPr>
            <w:tcW w:w="4732" w:type="dxa"/>
            <w:vAlign w:val="center"/>
          </w:tcPr>
          <w:p w:rsidR="00C151C8" w:rsidRDefault="00FB0ED5" w:rsidP="003E7E4B">
            <w:pPr>
              <w:widowControl w:val="0"/>
              <w:spacing w:before="0" w:line="240" w:lineRule="auto"/>
              <w:rPr>
                <w:rFonts w:cs="Arial"/>
                <w:lang w:val="it-CH"/>
              </w:rPr>
            </w:pPr>
            <w:r w:rsidRPr="00FB0ED5">
              <w:rPr>
                <w:rFonts w:cs="Arial"/>
                <w:lang w:val="it-CH"/>
              </w:rPr>
              <w:t xml:space="preserve">Albania, Bosnia&amp;Herzegovina, </w:t>
            </w:r>
            <w:r w:rsidR="003C310F">
              <w:rPr>
                <w:rFonts w:cs="Arial"/>
                <w:lang w:val="it-CH"/>
              </w:rPr>
              <w:t xml:space="preserve">Bulgaria, </w:t>
            </w:r>
            <w:r w:rsidRPr="00FB0ED5">
              <w:rPr>
                <w:rFonts w:cs="Arial"/>
                <w:lang w:val="it-CH"/>
              </w:rPr>
              <w:t>Montenegro, Serbia</w:t>
            </w:r>
            <w:r w:rsidR="00563B36">
              <w:rPr>
                <w:rFonts w:cs="Arial"/>
                <w:lang w:val="it-CH"/>
              </w:rPr>
              <w:t xml:space="preserve">, </w:t>
            </w:r>
            <w:r w:rsidR="003C310F">
              <w:rPr>
                <w:rFonts w:cs="Arial"/>
                <w:lang w:val="it-CH"/>
              </w:rPr>
              <w:t xml:space="preserve">and potentially Croatia,  </w:t>
            </w:r>
            <w:r w:rsidR="003C310F" w:rsidRPr="00FB0ED5">
              <w:rPr>
                <w:rFonts w:cs="Arial"/>
                <w:lang w:val="it-CH"/>
              </w:rPr>
              <w:t>FYR Macedonia</w:t>
            </w:r>
            <w:r w:rsidR="003C310F">
              <w:rPr>
                <w:rFonts w:cs="Arial"/>
                <w:lang w:val="it-CH"/>
              </w:rPr>
              <w:t>, and Moldova</w:t>
            </w:r>
          </w:p>
          <w:p w:rsidR="005007E0" w:rsidRPr="00FB0ED5" w:rsidRDefault="005007E0" w:rsidP="003E7E4B">
            <w:pPr>
              <w:widowControl w:val="0"/>
              <w:spacing w:before="0" w:line="240" w:lineRule="auto"/>
              <w:rPr>
                <w:rFonts w:cs="Arial"/>
                <w:lang w:val="it-CH"/>
              </w:rPr>
            </w:pPr>
          </w:p>
        </w:tc>
      </w:tr>
      <w:tr w:rsidR="00C151C8" w:rsidRPr="00FB0ED5">
        <w:trPr>
          <w:trHeight w:val="320"/>
        </w:trPr>
        <w:tc>
          <w:tcPr>
            <w:tcW w:w="4395" w:type="dxa"/>
          </w:tcPr>
          <w:p w:rsidR="00563B36" w:rsidRDefault="005007E0">
            <w:pPr>
              <w:pStyle w:val="Footer"/>
              <w:spacing w:before="20" w:after="20"/>
              <w:rPr>
                <w:sz w:val="22"/>
                <w:lang w:val="en-GB" w:eastAsia="fr-FR"/>
              </w:rPr>
            </w:pPr>
            <w:r>
              <w:rPr>
                <w:sz w:val="22"/>
                <w:lang w:val="en-GB" w:eastAsia="fr-FR"/>
              </w:rPr>
              <w:t>Grant managing organization</w:t>
            </w:r>
            <w:r w:rsidR="00C151C8">
              <w:rPr>
                <w:sz w:val="22"/>
                <w:lang w:val="en-GB" w:eastAsia="fr-FR"/>
              </w:rPr>
              <w:t>:</w:t>
            </w:r>
          </w:p>
          <w:p w:rsidR="00C151C8" w:rsidRDefault="00563B36">
            <w:pPr>
              <w:pStyle w:val="Footer"/>
              <w:spacing w:before="20" w:after="20"/>
              <w:rPr>
                <w:sz w:val="22"/>
                <w:lang w:val="en-GB" w:eastAsia="fr-FR"/>
              </w:rPr>
            </w:pPr>
            <w:r>
              <w:rPr>
                <w:sz w:val="22"/>
                <w:lang w:val="en-GB" w:eastAsia="fr-FR"/>
              </w:rPr>
              <w:t>Recepient organization</w:t>
            </w:r>
            <w:r w:rsidR="00C151C8">
              <w:rPr>
                <w:sz w:val="22"/>
                <w:lang w:val="en-GB" w:eastAsia="fr-FR"/>
              </w:rPr>
              <w:tab/>
            </w:r>
          </w:p>
        </w:tc>
        <w:tc>
          <w:tcPr>
            <w:tcW w:w="4732" w:type="dxa"/>
            <w:vAlign w:val="center"/>
          </w:tcPr>
          <w:p w:rsidR="005007E0" w:rsidRDefault="005007E0" w:rsidP="00563B36">
            <w:pPr>
              <w:widowControl w:val="0"/>
              <w:spacing w:before="0" w:line="240" w:lineRule="auto"/>
              <w:rPr>
                <w:rFonts w:cs="Arial"/>
                <w:lang w:val="en-US"/>
              </w:rPr>
            </w:pPr>
            <w:r>
              <w:rPr>
                <w:rFonts w:cs="Arial"/>
                <w:lang w:val="en-US"/>
              </w:rPr>
              <w:t>World Bank</w:t>
            </w:r>
          </w:p>
          <w:p w:rsidR="00563B36" w:rsidRPr="00FB0ED5" w:rsidRDefault="00563B36" w:rsidP="00563B36">
            <w:pPr>
              <w:widowControl w:val="0"/>
              <w:spacing w:before="0" w:line="240" w:lineRule="auto"/>
              <w:rPr>
                <w:rFonts w:cs="Arial"/>
                <w:lang w:val="en-US"/>
              </w:rPr>
            </w:pPr>
            <w:r>
              <w:rPr>
                <w:rFonts w:cs="Arial"/>
                <w:lang w:val="en-US"/>
              </w:rPr>
              <w:t>SECE CRIF (“</w:t>
            </w:r>
            <w:proofErr w:type="spellStart"/>
            <w:r>
              <w:rPr>
                <w:rFonts w:cs="Arial"/>
                <w:lang w:val="en-US"/>
              </w:rPr>
              <w:t>Europa</w:t>
            </w:r>
            <w:proofErr w:type="spellEnd"/>
            <w:r>
              <w:rPr>
                <w:rFonts w:cs="Arial"/>
                <w:lang w:val="en-US"/>
              </w:rPr>
              <w:t xml:space="preserve"> Re”)</w:t>
            </w:r>
          </w:p>
        </w:tc>
      </w:tr>
      <w:tr w:rsidR="00C151C8">
        <w:trPr>
          <w:trHeight w:val="320"/>
        </w:trPr>
        <w:tc>
          <w:tcPr>
            <w:tcW w:w="4395" w:type="dxa"/>
          </w:tcPr>
          <w:p w:rsidR="00C151C8" w:rsidRDefault="008F791D">
            <w:pPr>
              <w:spacing w:before="20" w:after="20"/>
              <w:rPr>
                <w:lang w:val="en-GB"/>
              </w:rPr>
            </w:pPr>
            <w:r>
              <w:rPr>
                <w:lang w:val="en-GB"/>
              </w:rPr>
              <w:t>Envisaged program</w:t>
            </w:r>
            <w:r w:rsidR="00C151C8">
              <w:rPr>
                <w:lang w:val="en-GB"/>
              </w:rPr>
              <w:t xml:space="preserve"> duration:</w:t>
            </w:r>
          </w:p>
        </w:tc>
        <w:tc>
          <w:tcPr>
            <w:tcW w:w="4732" w:type="dxa"/>
            <w:vAlign w:val="center"/>
          </w:tcPr>
          <w:p w:rsidR="00C151C8" w:rsidRDefault="00FB0ED5" w:rsidP="005007E0">
            <w:pPr>
              <w:widowControl w:val="0"/>
              <w:spacing w:before="0" w:line="240" w:lineRule="auto"/>
              <w:rPr>
                <w:rFonts w:cs="Arial"/>
                <w:lang w:val="en-GB"/>
              </w:rPr>
            </w:pPr>
            <w:r w:rsidRPr="00F95D92">
              <w:rPr>
                <w:rFonts w:cs="Arial"/>
                <w:lang w:val="en-US"/>
              </w:rPr>
              <w:t>1.</w:t>
            </w:r>
            <w:r w:rsidR="00F95D92">
              <w:rPr>
                <w:rFonts w:cs="Arial"/>
                <w:lang w:val="en-US"/>
              </w:rPr>
              <w:t>8</w:t>
            </w:r>
            <w:r w:rsidRPr="00F95D92">
              <w:rPr>
                <w:rFonts w:cs="Arial"/>
                <w:lang w:val="en-US"/>
              </w:rPr>
              <w:t>.2009</w:t>
            </w:r>
            <w:r w:rsidR="00B41816" w:rsidRPr="00F95D92">
              <w:rPr>
                <w:rFonts w:cs="Arial"/>
                <w:lang w:val="en-US"/>
              </w:rPr>
              <w:t>-</w:t>
            </w:r>
            <w:r w:rsidR="00F95D92">
              <w:rPr>
                <w:rFonts w:cs="Arial"/>
                <w:lang w:val="en-US"/>
              </w:rPr>
              <w:t xml:space="preserve">ca. </w:t>
            </w:r>
            <w:r w:rsidR="00B41816" w:rsidRPr="00F95D92">
              <w:rPr>
                <w:rFonts w:cs="Arial"/>
                <w:lang w:val="en-US"/>
              </w:rPr>
              <w:t>201</w:t>
            </w:r>
            <w:r w:rsidR="005007E0">
              <w:rPr>
                <w:rFonts w:cs="Arial"/>
                <w:lang w:val="en-US"/>
              </w:rPr>
              <w:t>3</w:t>
            </w:r>
          </w:p>
        </w:tc>
      </w:tr>
      <w:tr w:rsidR="00C151C8">
        <w:trPr>
          <w:trHeight w:val="320"/>
        </w:trPr>
        <w:tc>
          <w:tcPr>
            <w:tcW w:w="4395" w:type="dxa"/>
          </w:tcPr>
          <w:p w:rsidR="00C151C8" w:rsidRPr="00FE06C0" w:rsidRDefault="00C151C8">
            <w:pPr>
              <w:spacing w:before="20" w:after="20"/>
              <w:rPr>
                <w:lang w:val="en-GB"/>
              </w:rPr>
            </w:pPr>
            <w:r>
              <w:rPr>
                <w:lang w:val="en-GB"/>
              </w:rPr>
              <w:t>Total budget:</w:t>
            </w:r>
          </w:p>
        </w:tc>
        <w:tc>
          <w:tcPr>
            <w:tcW w:w="4732" w:type="dxa"/>
            <w:vAlign w:val="center"/>
          </w:tcPr>
          <w:p w:rsidR="00C151C8" w:rsidRDefault="007D3252" w:rsidP="005007E0">
            <w:pPr>
              <w:widowControl w:val="0"/>
              <w:spacing w:before="0" w:line="240" w:lineRule="auto"/>
              <w:rPr>
                <w:rFonts w:cs="Arial"/>
                <w:lang w:val="en-GB"/>
              </w:rPr>
            </w:pPr>
            <w:r w:rsidRPr="007D3252">
              <w:rPr>
                <w:rFonts w:cs="Arial"/>
                <w:lang w:val="en-US"/>
              </w:rPr>
              <w:t xml:space="preserve">≈ </w:t>
            </w:r>
            <w:r w:rsidR="005007E0">
              <w:rPr>
                <w:rFonts w:cs="Arial"/>
                <w:lang w:val="en-US"/>
              </w:rPr>
              <w:t>€16</w:t>
            </w:r>
            <w:r w:rsidRPr="007D3252">
              <w:rPr>
                <w:rFonts w:cs="Arial"/>
                <w:lang w:val="en-US"/>
              </w:rPr>
              <w:t xml:space="preserve"> m</w:t>
            </w:r>
            <w:r w:rsidR="00FB0ED5" w:rsidRPr="007D3252">
              <w:rPr>
                <w:rFonts w:cs="Arial"/>
                <w:lang w:val="en-US"/>
              </w:rPr>
              <w:t>illion</w:t>
            </w:r>
          </w:p>
        </w:tc>
      </w:tr>
      <w:tr w:rsidR="00C151C8" w:rsidRPr="00F95D92">
        <w:trPr>
          <w:trHeight w:val="320"/>
        </w:trPr>
        <w:tc>
          <w:tcPr>
            <w:tcW w:w="4395" w:type="dxa"/>
          </w:tcPr>
          <w:p w:rsidR="00C151C8" w:rsidRDefault="005007E0" w:rsidP="00563B36">
            <w:pPr>
              <w:spacing w:before="20" w:after="20"/>
              <w:rPr>
                <w:lang w:val="en-GB"/>
              </w:rPr>
            </w:pPr>
            <w:r>
              <w:rPr>
                <w:lang w:val="en-GB"/>
              </w:rPr>
              <w:t>Sought donor</w:t>
            </w:r>
            <w:r w:rsidR="00C151C8">
              <w:rPr>
                <w:lang w:val="en-GB"/>
              </w:rPr>
              <w:t xml:space="preserve"> contribution:</w:t>
            </w:r>
          </w:p>
        </w:tc>
        <w:tc>
          <w:tcPr>
            <w:tcW w:w="4732" w:type="dxa"/>
            <w:vAlign w:val="center"/>
          </w:tcPr>
          <w:p w:rsidR="00C151C8" w:rsidRPr="00F95D92" w:rsidRDefault="005007E0" w:rsidP="005007E0">
            <w:pPr>
              <w:widowControl w:val="0"/>
              <w:spacing w:before="0" w:line="240" w:lineRule="auto"/>
              <w:rPr>
                <w:rFonts w:cs="Arial"/>
                <w:lang w:val="en-US"/>
              </w:rPr>
            </w:pPr>
            <w:r w:rsidRPr="007D3252">
              <w:rPr>
                <w:rFonts w:cs="Arial"/>
                <w:lang w:val="en-US"/>
              </w:rPr>
              <w:t>≈</w:t>
            </w:r>
            <w:r>
              <w:rPr>
                <w:rFonts w:cs="Arial"/>
                <w:lang w:val="en-US"/>
              </w:rPr>
              <w:t>€18.5 m</w:t>
            </w:r>
            <w:r w:rsidR="003E7E4B">
              <w:rPr>
                <w:rFonts w:cs="Arial"/>
                <w:lang w:val="en-US"/>
              </w:rPr>
              <w:t>illion</w:t>
            </w:r>
          </w:p>
        </w:tc>
      </w:tr>
    </w:tbl>
    <w:p w:rsidR="00C151C8" w:rsidRPr="0088282C" w:rsidRDefault="00C151C8" w:rsidP="0088282C">
      <w:pPr>
        <w:pStyle w:val="Heading1"/>
        <w:keepNext w:val="0"/>
        <w:widowControl w:val="0"/>
        <w:numPr>
          <w:ilvl w:val="0"/>
          <w:numId w:val="0"/>
        </w:numPr>
        <w:pBdr>
          <w:bottom w:val="single" w:sz="4" w:space="1" w:color="auto"/>
        </w:pBdr>
        <w:suppressAutoHyphens w:val="0"/>
        <w:spacing w:before="0"/>
        <w:rPr>
          <w:sz w:val="22"/>
          <w:szCs w:val="22"/>
          <w:lang w:val="en-GB"/>
        </w:rPr>
      </w:pPr>
    </w:p>
    <w:p w:rsidR="00C151C8" w:rsidRDefault="00C151C8">
      <w:pPr>
        <w:pStyle w:val="Heading1"/>
        <w:keepNext w:val="0"/>
        <w:widowControl w:val="0"/>
        <w:tabs>
          <w:tab w:val="clear" w:pos="851"/>
          <w:tab w:val="left" w:pos="0"/>
          <w:tab w:val="num" w:pos="360"/>
        </w:tabs>
        <w:suppressAutoHyphens w:val="0"/>
        <w:ind w:left="0" w:firstLine="0"/>
        <w:rPr>
          <w:bCs w:val="0"/>
          <w:lang w:val="en-GB"/>
        </w:rPr>
      </w:pPr>
      <w:r>
        <w:rPr>
          <w:bCs w:val="0"/>
          <w:lang w:val="en-GB"/>
        </w:rPr>
        <w:t xml:space="preserve">Brief summary </w:t>
      </w:r>
    </w:p>
    <w:p w:rsidR="00C151C8" w:rsidRDefault="003D5DBD">
      <w:pPr>
        <w:rPr>
          <w:lang w:val="en-GB"/>
        </w:rPr>
      </w:pPr>
      <w:r>
        <w:rPr>
          <w:lang w:val="en-GB"/>
        </w:rPr>
        <w:t xml:space="preserve">The countries of Southeast and </w:t>
      </w:r>
      <w:smartTag w:uri="urn:schemas-microsoft-com:office:smarttags" w:element="place">
        <w:r>
          <w:rPr>
            <w:lang w:val="en-GB"/>
          </w:rPr>
          <w:t>Central Europe</w:t>
        </w:r>
      </w:smartTag>
      <w:r>
        <w:rPr>
          <w:lang w:val="en-GB"/>
        </w:rPr>
        <w:t xml:space="preserve"> are vulnerable to the often devastating impact of natural hazards</w:t>
      </w:r>
      <w:r w:rsidR="002D055E">
        <w:rPr>
          <w:lang w:val="en-GB"/>
        </w:rPr>
        <w:t>,</w:t>
      </w:r>
      <w:r>
        <w:rPr>
          <w:lang w:val="en-GB"/>
        </w:rPr>
        <w:t xml:space="preserve"> but sound disaster risk management and disaster insurance coverage of assets belonging to ho</w:t>
      </w:r>
      <w:r w:rsidR="00E66C41">
        <w:rPr>
          <w:lang w:val="en-GB"/>
        </w:rPr>
        <w:t>useholds and small businesses are</w:t>
      </w:r>
      <w:r>
        <w:rPr>
          <w:lang w:val="en-GB"/>
        </w:rPr>
        <w:t xml:space="preserve"> virtually non-existent. </w:t>
      </w:r>
      <w:r w:rsidR="00DE1017">
        <w:rPr>
          <w:lang w:val="en-GB"/>
        </w:rPr>
        <w:t xml:space="preserve">The Catastrophe Risk Insurance Facility </w:t>
      </w:r>
      <w:r>
        <w:rPr>
          <w:lang w:val="en-GB"/>
        </w:rPr>
        <w:t xml:space="preserve">(CRIF) </w:t>
      </w:r>
      <w:r w:rsidR="00DE1017">
        <w:rPr>
          <w:lang w:val="en-GB"/>
        </w:rPr>
        <w:t xml:space="preserve">is a cat re-insurance </w:t>
      </w:r>
      <w:r w:rsidR="0046509F">
        <w:rPr>
          <w:lang w:val="en-GB"/>
        </w:rPr>
        <w:t>company</w:t>
      </w:r>
      <w:r w:rsidR="00DE1017">
        <w:rPr>
          <w:lang w:val="en-GB"/>
        </w:rPr>
        <w:t xml:space="preserve"> </w:t>
      </w:r>
      <w:r>
        <w:rPr>
          <w:lang w:val="en-GB"/>
        </w:rPr>
        <w:t xml:space="preserve">which will be </w:t>
      </w:r>
      <w:r w:rsidR="00FF7EF0">
        <w:rPr>
          <w:lang w:val="en-GB"/>
        </w:rPr>
        <w:t xml:space="preserve">established </w:t>
      </w:r>
      <w:r w:rsidR="0046509F">
        <w:rPr>
          <w:lang w:val="en-GB"/>
        </w:rPr>
        <w:t xml:space="preserve">with technical assistance of </w:t>
      </w:r>
      <w:r w:rsidR="00FF7EF0">
        <w:rPr>
          <w:lang w:val="en-GB"/>
        </w:rPr>
        <w:t>the World Bank</w:t>
      </w:r>
      <w:r>
        <w:rPr>
          <w:lang w:val="en-GB"/>
        </w:rPr>
        <w:t xml:space="preserve"> and </w:t>
      </w:r>
      <w:r w:rsidR="00DE1017">
        <w:rPr>
          <w:lang w:val="en-GB"/>
        </w:rPr>
        <w:t>owned by countries of South Eastern and Central Europe</w:t>
      </w:r>
      <w:r>
        <w:rPr>
          <w:lang w:val="en-GB"/>
        </w:rPr>
        <w:t xml:space="preserve"> (SECE)</w:t>
      </w:r>
      <w:r w:rsidR="00DE1017">
        <w:rPr>
          <w:lang w:val="en-GB"/>
        </w:rPr>
        <w:t xml:space="preserve"> with the aim to increase the number of homes and SMEs insured against earthquakes and floods by the private insurance market</w:t>
      </w:r>
      <w:r w:rsidR="0046509F">
        <w:rPr>
          <w:lang w:val="en-GB"/>
        </w:rPr>
        <w:t xml:space="preserve"> in the region</w:t>
      </w:r>
      <w:r w:rsidR="00DE1017">
        <w:rPr>
          <w:lang w:val="en-GB"/>
        </w:rPr>
        <w:t>.</w:t>
      </w:r>
    </w:p>
    <w:p w:rsidR="00C151C8" w:rsidRDefault="001C6035" w:rsidP="001C6035">
      <w:pPr>
        <w:pStyle w:val="Heading1"/>
        <w:tabs>
          <w:tab w:val="clear" w:pos="851"/>
          <w:tab w:val="left" w:pos="426"/>
        </w:tabs>
        <w:ind w:left="426" w:hanging="426"/>
        <w:rPr>
          <w:lang w:val="en-GB"/>
        </w:rPr>
      </w:pPr>
      <w:r>
        <w:rPr>
          <w:lang w:val="en-GB"/>
        </w:rPr>
        <w:t>Description of SECE CRIF</w:t>
      </w:r>
    </w:p>
    <w:p w:rsidR="00932C95" w:rsidRDefault="00563B36" w:rsidP="00440DDC">
      <w:pPr>
        <w:rPr>
          <w:lang w:val="en-GB"/>
        </w:rPr>
      </w:pPr>
      <w:r>
        <w:rPr>
          <w:lang w:val="en-GB"/>
        </w:rPr>
        <w:t>T</w:t>
      </w:r>
      <w:r w:rsidR="00420FBC">
        <w:rPr>
          <w:lang w:val="en-GB"/>
        </w:rPr>
        <w:t xml:space="preserve">he World Bank </w:t>
      </w:r>
      <w:r w:rsidR="00ED49F5">
        <w:rPr>
          <w:lang w:val="en-GB"/>
        </w:rPr>
        <w:t xml:space="preserve">jointly with RCC and UN ISDR </w:t>
      </w:r>
      <w:r w:rsidR="00420FBC">
        <w:rPr>
          <w:lang w:val="en-GB"/>
        </w:rPr>
        <w:t>is facilitating the set u</w:t>
      </w:r>
      <w:r w:rsidR="00DB0131">
        <w:rPr>
          <w:lang w:val="en-GB"/>
        </w:rPr>
        <w:t>p of a dedicated catastrophe re</w:t>
      </w:r>
      <w:r w:rsidR="00420FBC">
        <w:rPr>
          <w:lang w:val="en-GB"/>
        </w:rPr>
        <w:t>in</w:t>
      </w:r>
      <w:r w:rsidR="00932C95">
        <w:rPr>
          <w:lang w:val="en-GB"/>
        </w:rPr>
        <w:t xml:space="preserve">surance pool entitled </w:t>
      </w:r>
      <w:proofErr w:type="spellStart"/>
      <w:r w:rsidR="00932C95" w:rsidRPr="009F73C9">
        <w:rPr>
          <w:i/>
          <w:lang w:val="en-GB"/>
        </w:rPr>
        <w:t>Southeastern</w:t>
      </w:r>
      <w:proofErr w:type="spellEnd"/>
      <w:r w:rsidR="00932C95" w:rsidRPr="009F73C9">
        <w:rPr>
          <w:i/>
          <w:lang w:val="en-GB"/>
        </w:rPr>
        <w:t xml:space="preserve"> and Central Europe Catastrophe Risk Insurance Facility (SECE CRIF)</w:t>
      </w:r>
      <w:r w:rsidR="00E66C41">
        <w:rPr>
          <w:lang w:val="en-GB"/>
        </w:rPr>
        <w:t xml:space="preserve">. The main rationale of SECE </w:t>
      </w:r>
      <w:r w:rsidR="00932C95">
        <w:rPr>
          <w:lang w:val="en-GB"/>
        </w:rPr>
        <w:t>CRIF is to promote a cat insurance market in the region by providing access for homeowners and SMEs to affordable but hig</w:t>
      </w:r>
      <w:r w:rsidR="009F73C9">
        <w:rPr>
          <w:lang w:val="en-GB"/>
        </w:rPr>
        <w:t>h</w:t>
      </w:r>
      <w:r w:rsidR="00932C95">
        <w:rPr>
          <w:lang w:val="en-GB"/>
        </w:rPr>
        <w:t xml:space="preserve">ly dependable </w:t>
      </w:r>
      <w:r w:rsidR="009F73C9">
        <w:rPr>
          <w:lang w:val="en-GB"/>
        </w:rPr>
        <w:t xml:space="preserve">and not subsidized </w:t>
      </w:r>
      <w:r w:rsidR="00932C95">
        <w:rPr>
          <w:lang w:val="en-GB"/>
        </w:rPr>
        <w:t xml:space="preserve">insurance coverage caused by natural calamities which does not currently exist in the commercial market. </w:t>
      </w:r>
      <w:r w:rsidR="00932C95" w:rsidRPr="00932C95">
        <w:rPr>
          <w:lang w:val="en-US"/>
        </w:rPr>
        <w:t xml:space="preserve">The main insurance product </w:t>
      </w:r>
      <w:r w:rsidR="00932C95">
        <w:rPr>
          <w:lang w:val="en-US"/>
        </w:rPr>
        <w:t>backed by</w:t>
      </w:r>
      <w:r w:rsidR="00932C95" w:rsidRPr="00932C95">
        <w:rPr>
          <w:lang w:val="en-US"/>
        </w:rPr>
        <w:t xml:space="preserve"> </w:t>
      </w:r>
      <w:r w:rsidR="00E66C41">
        <w:rPr>
          <w:lang w:val="en-US"/>
        </w:rPr>
        <w:t xml:space="preserve">SECE </w:t>
      </w:r>
      <w:r w:rsidR="00932C95" w:rsidRPr="00932C95">
        <w:rPr>
          <w:lang w:val="en-US"/>
        </w:rPr>
        <w:t xml:space="preserve">CRIF will be a stand-alone catastrophe insurance cover for the risks of earthquake and flood for property and contents, which could be bought separately from a </w:t>
      </w:r>
      <w:proofErr w:type="gramStart"/>
      <w:r w:rsidR="00932C95" w:rsidRPr="00932C95">
        <w:rPr>
          <w:lang w:val="en-US"/>
        </w:rPr>
        <w:t>homeowners</w:t>
      </w:r>
      <w:proofErr w:type="gramEnd"/>
      <w:r w:rsidR="00932C95" w:rsidRPr="00932C95">
        <w:rPr>
          <w:lang w:val="en-US"/>
        </w:rPr>
        <w:t xml:space="preserve"> policy, and which will be sold through local private insurance companies and their agents.</w:t>
      </w:r>
    </w:p>
    <w:p w:rsidR="005A404C" w:rsidRPr="005A404C" w:rsidRDefault="00932C95" w:rsidP="00440DDC">
      <w:pPr>
        <w:rPr>
          <w:lang w:val="en-GB"/>
        </w:rPr>
      </w:pPr>
      <w:r>
        <w:rPr>
          <w:lang w:val="en-GB"/>
        </w:rPr>
        <w:t xml:space="preserve">The </w:t>
      </w:r>
      <w:r w:rsidR="00E66C41">
        <w:rPr>
          <w:lang w:val="en-GB"/>
        </w:rPr>
        <w:t>Facility</w:t>
      </w:r>
      <w:r>
        <w:rPr>
          <w:lang w:val="en-GB"/>
        </w:rPr>
        <w:t xml:space="preserve"> targets the entire SECE region, but with a focus on the Balkans</w:t>
      </w:r>
      <w:r w:rsidR="00F95D92">
        <w:rPr>
          <w:lang w:val="en-GB"/>
        </w:rPr>
        <w:t xml:space="preserve"> first</w:t>
      </w:r>
      <w:r>
        <w:rPr>
          <w:lang w:val="en-GB"/>
        </w:rPr>
        <w:t xml:space="preserve">. </w:t>
      </w:r>
      <w:r w:rsidR="005F26AF">
        <w:rPr>
          <w:lang w:val="en-GB"/>
        </w:rPr>
        <w:t xml:space="preserve">By now </w:t>
      </w:r>
      <w:smartTag w:uri="urn:schemas-microsoft-com:office:smarttags" w:element="country-region">
        <w:r w:rsidR="005F26AF">
          <w:rPr>
            <w:lang w:val="en-GB"/>
          </w:rPr>
          <w:t>Albania</w:t>
        </w:r>
      </w:smartTag>
      <w:r w:rsidR="005F26AF">
        <w:rPr>
          <w:lang w:val="en-GB"/>
        </w:rPr>
        <w:t xml:space="preserve">, </w:t>
      </w:r>
      <w:smartTag w:uri="urn:schemas-microsoft-com:office:smarttags" w:element="country-region">
        <w:r w:rsidR="005F26AF">
          <w:rPr>
            <w:lang w:val="en-GB"/>
          </w:rPr>
          <w:t>Bosnia</w:t>
        </w:r>
      </w:smartTag>
      <w:r w:rsidR="005F26AF">
        <w:rPr>
          <w:lang w:val="en-GB"/>
        </w:rPr>
        <w:t xml:space="preserve">, </w:t>
      </w:r>
      <w:r w:rsidR="00F95D92">
        <w:rPr>
          <w:lang w:val="en-GB"/>
        </w:rPr>
        <w:t>Montenegro</w:t>
      </w:r>
      <w:r w:rsidR="005F26AF">
        <w:rPr>
          <w:lang w:val="en-GB"/>
        </w:rPr>
        <w:t xml:space="preserve"> and </w:t>
      </w:r>
      <w:smartTag w:uri="urn:schemas-microsoft-com:office:smarttags" w:element="country-region">
        <w:r w:rsidR="005F26AF">
          <w:rPr>
            <w:lang w:val="en-GB"/>
          </w:rPr>
          <w:t>Bulgaria</w:t>
        </w:r>
      </w:smartTag>
      <w:r>
        <w:rPr>
          <w:lang w:val="en-GB"/>
        </w:rPr>
        <w:t xml:space="preserve"> have</w:t>
      </w:r>
      <w:r w:rsidR="009F73C9">
        <w:rPr>
          <w:lang w:val="en-GB"/>
        </w:rPr>
        <w:t xml:space="preserve"> committed </w:t>
      </w:r>
      <w:r w:rsidR="005F26AF">
        <w:rPr>
          <w:lang w:val="en-GB"/>
        </w:rPr>
        <w:t xml:space="preserve">while countries like </w:t>
      </w:r>
      <w:smartTag w:uri="urn:schemas-microsoft-com:office:smarttags" w:element="country-region">
        <w:r w:rsidR="005F26AF">
          <w:rPr>
            <w:lang w:val="en-GB"/>
          </w:rPr>
          <w:t>Greece</w:t>
        </w:r>
      </w:smartTag>
      <w:r w:rsidR="005F26AF">
        <w:rPr>
          <w:lang w:val="en-GB"/>
        </w:rPr>
        <w:t xml:space="preserve">, </w:t>
      </w:r>
      <w:smartTag w:uri="urn:schemas-microsoft-com:office:smarttags" w:element="country-region">
        <w:r w:rsidR="005F26AF">
          <w:rPr>
            <w:lang w:val="en-GB"/>
          </w:rPr>
          <w:t>Serbia</w:t>
        </w:r>
      </w:smartTag>
      <w:r w:rsidR="005F26AF">
        <w:rPr>
          <w:lang w:val="en-GB"/>
        </w:rPr>
        <w:t xml:space="preserve"> </w:t>
      </w:r>
      <w:r w:rsidR="005F26AF">
        <w:rPr>
          <w:lang w:val="en-GB"/>
        </w:rPr>
        <w:lastRenderedPageBreak/>
        <w:t xml:space="preserve">and </w:t>
      </w:r>
      <w:smartTag w:uri="urn:schemas-microsoft-com:office:smarttags" w:element="country-region">
        <w:smartTag w:uri="urn:schemas-microsoft-com:office:smarttags" w:element="place">
          <w:r w:rsidR="005F26AF">
            <w:rPr>
              <w:lang w:val="en-GB"/>
            </w:rPr>
            <w:t>Croatia</w:t>
          </w:r>
        </w:smartTag>
      </w:smartTag>
      <w:r w:rsidR="005F26AF">
        <w:rPr>
          <w:lang w:val="en-GB"/>
        </w:rPr>
        <w:t xml:space="preserve"> expressed interest in </w:t>
      </w:r>
      <w:r>
        <w:rPr>
          <w:lang w:val="en-GB"/>
        </w:rPr>
        <w:t xml:space="preserve">joining the </w:t>
      </w:r>
      <w:r w:rsidR="00E66C41">
        <w:rPr>
          <w:lang w:val="en-GB"/>
        </w:rPr>
        <w:t>SECE CRIF</w:t>
      </w:r>
      <w:r>
        <w:rPr>
          <w:lang w:val="en-GB"/>
        </w:rPr>
        <w:t xml:space="preserve">. </w:t>
      </w:r>
      <w:r w:rsidR="009F73C9">
        <w:rPr>
          <w:lang w:val="en-GB"/>
        </w:rPr>
        <w:t>A recent conference organized by the Bank revealed that the ot</w:t>
      </w:r>
      <w:r w:rsidR="0046509F">
        <w:rPr>
          <w:lang w:val="en-GB"/>
        </w:rPr>
        <w:t xml:space="preserve">her Western Balkans countries </w:t>
      </w:r>
      <w:r w:rsidR="009F73C9">
        <w:rPr>
          <w:lang w:val="en-GB"/>
        </w:rPr>
        <w:t xml:space="preserve">are </w:t>
      </w:r>
      <w:r w:rsidR="008F791D">
        <w:rPr>
          <w:lang w:val="en-GB"/>
        </w:rPr>
        <w:t xml:space="preserve">also </w:t>
      </w:r>
      <w:r w:rsidR="00F95D92">
        <w:rPr>
          <w:lang w:val="en-GB"/>
        </w:rPr>
        <w:t>strongly</w:t>
      </w:r>
      <w:r w:rsidR="009F73C9">
        <w:rPr>
          <w:lang w:val="en-GB"/>
        </w:rPr>
        <w:t xml:space="preserve"> interested in the Program</w:t>
      </w:r>
      <w:r w:rsidR="00F95D92">
        <w:rPr>
          <w:lang w:val="en-GB"/>
        </w:rPr>
        <w:t xml:space="preserve"> and likely to join, although at a later stage</w:t>
      </w:r>
      <w:r w:rsidR="009F73C9">
        <w:rPr>
          <w:lang w:val="en-GB"/>
        </w:rPr>
        <w:t xml:space="preserve">. </w:t>
      </w:r>
      <w:r w:rsidR="00F95D92">
        <w:rPr>
          <w:lang w:val="en-GB"/>
        </w:rPr>
        <w:t>T</w:t>
      </w:r>
      <w:r w:rsidR="008F791D">
        <w:rPr>
          <w:lang w:val="en-GB"/>
        </w:rPr>
        <w:t>he Regional Cooperation Council (formerly Stability Pact) i</w:t>
      </w:r>
      <w:r w:rsidR="00E66C41">
        <w:rPr>
          <w:lang w:val="en-GB"/>
        </w:rPr>
        <w:t>s instrumental, through its secr</w:t>
      </w:r>
      <w:r w:rsidR="008F791D">
        <w:rPr>
          <w:lang w:val="en-GB"/>
        </w:rPr>
        <w:t>etary-general, i</w:t>
      </w:r>
      <w:r w:rsidR="00E66C41">
        <w:rPr>
          <w:lang w:val="en-GB"/>
        </w:rPr>
        <w:t xml:space="preserve">n promoting SECE </w:t>
      </w:r>
      <w:r w:rsidR="008F791D">
        <w:rPr>
          <w:lang w:val="en-GB"/>
        </w:rPr>
        <w:t>CRIF among the Balkan countries and encouraging their participation.</w:t>
      </w:r>
    </w:p>
    <w:p w:rsidR="0046509F" w:rsidRDefault="0046509F" w:rsidP="00440DDC">
      <w:pPr>
        <w:rPr>
          <w:b/>
          <w:lang w:val="en-GB"/>
        </w:rPr>
      </w:pPr>
    </w:p>
    <w:p w:rsidR="00057DB4" w:rsidRPr="00BC07D5" w:rsidRDefault="00420FBC" w:rsidP="00440DDC">
      <w:pPr>
        <w:rPr>
          <w:b/>
          <w:lang w:val="en-GB"/>
        </w:rPr>
      </w:pPr>
      <w:r>
        <w:rPr>
          <w:b/>
          <w:lang w:val="en-GB"/>
        </w:rPr>
        <w:t xml:space="preserve">SECE CRIF </w:t>
      </w:r>
      <w:r w:rsidR="009F73C9">
        <w:rPr>
          <w:b/>
          <w:lang w:val="en-GB"/>
        </w:rPr>
        <w:t>Business Model</w:t>
      </w:r>
      <w:r w:rsidR="00057DB4" w:rsidRPr="00BC07D5">
        <w:rPr>
          <w:b/>
          <w:lang w:val="en-GB"/>
        </w:rPr>
        <w:t xml:space="preserve"> </w:t>
      </w:r>
    </w:p>
    <w:p w:rsidR="009F73C9" w:rsidRDefault="00884B38" w:rsidP="00440DDC">
      <w:pPr>
        <w:rPr>
          <w:lang w:val="en-GB"/>
        </w:rPr>
      </w:pPr>
      <w:r>
        <w:rPr>
          <w:lang w:val="en-GB"/>
        </w:rPr>
        <w:t xml:space="preserve">The business model </w:t>
      </w:r>
      <w:r w:rsidR="001705EE">
        <w:rPr>
          <w:lang w:val="en-GB"/>
        </w:rPr>
        <w:t xml:space="preserve">of SECE-CRIF </w:t>
      </w:r>
      <w:r>
        <w:rPr>
          <w:lang w:val="en-GB"/>
        </w:rPr>
        <w:t xml:space="preserve">and </w:t>
      </w:r>
      <w:r w:rsidR="001705EE">
        <w:rPr>
          <w:lang w:val="en-GB"/>
        </w:rPr>
        <w:t xml:space="preserve">its </w:t>
      </w:r>
      <w:r>
        <w:rPr>
          <w:lang w:val="en-GB"/>
        </w:rPr>
        <w:t xml:space="preserve">mechanics are </w:t>
      </w:r>
      <w:r w:rsidR="00E66C41">
        <w:rPr>
          <w:lang w:val="en-GB"/>
        </w:rPr>
        <w:t>depicted</w:t>
      </w:r>
      <w:r>
        <w:rPr>
          <w:lang w:val="en-GB"/>
        </w:rPr>
        <w:t xml:space="preserve"> in the two figures below:</w:t>
      </w:r>
    </w:p>
    <w:p w:rsidR="00E66C41" w:rsidRPr="00E66C41" w:rsidRDefault="00E66C41" w:rsidP="00E66C41">
      <w:pPr>
        <w:jc w:val="center"/>
        <w:rPr>
          <w:sz w:val="18"/>
          <w:szCs w:val="18"/>
          <w:lang w:val="en-GB"/>
        </w:rPr>
      </w:pPr>
      <w:r w:rsidRPr="00E66C41">
        <w:rPr>
          <w:sz w:val="18"/>
          <w:szCs w:val="18"/>
          <w:lang w:val="en-GB"/>
        </w:rPr>
        <w:t>SECE CRIF at a glance</w:t>
      </w:r>
    </w:p>
    <w:p w:rsidR="00005403" w:rsidRDefault="00F51665" w:rsidP="00E66C41">
      <w:pPr>
        <w:jc w:val="center"/>
        <w:rPr>
          <w:i/>
          <w:lang w:val="en-GB"/>
        </w:rPr>
      </w:pPr>
      <w:r>
        <w:rPr>
          <w:i/>
          <w:noProof/>
          <w:lang w:val="en-US"/>
        </w:rPr>
        <w:drawing>
          <wp:inline distT="0" distB="0" distL="0" distR="0">
            <wp:extent cx="3928110" cy="202755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928110" cy="2027555"/>
                    </a:xfrm>
                    <a:prstGeom prst="rect">
                      <a:avLst/>
                    </a:prstGeom>
                    <a:noFill/>
                    <a:ln w="9525">
                      <a:noFill/>
                      <a:miter lim="800000"/>
                      <a:headEnd/>
                      <a:tailEnd/>
                    </a:ln>
                  </pic:spPr>
                </pic:pic>
              </a:graphicData>
            </a:graphic>
          </wp:inline>
        </w:drawing>
      </w:r>
    </w:p>
    <w:p w:rsidR="00DB0131" w:rsidRDefault="00F51665" w:rsidP="00E66C41">
      <w:pPr>
        <w:jc w:val="center"/>
        <w:rPr>
          <w:i/>
          <w:lang w:val="en-GB"/>
        </w:rPr>
      </w:pPr>
      <w:r>
        <w:rPr>
          <w:i/>
          <w:noProof/>
          <w:lang w:val="en-US"/>
        </w:rPr>
        <w:drawing>
          <wp:inline distT="0" distB="0" distL="0" distR="0">
            <wp:extent cx="4596130" cy="288607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596130" cy="2886075"/>
                    </a:xfrm>
                    <a:prstGeom prst="rect">
                      <a:avLst/>
                    </a:prstGeom>
                    <a:noFill/>
                    <a:ln w="9525">
                      <a:noFill/>
                      <a:miter lim="800000"/>
                      <a:headEnd/>
                      <a:tailEnd/>
                    </a:ln>
                  </pic:spPr>
                </pic:pic>
              </a:graphicData>
            </a:graphic>
          </wp:inline>
        </w:drawing>
      </w:r>
    </w:p>
    <w:p w:rsidR="005C10FB" w:rsidRDefault="0046509F" w:rsidP="00884B38">
      <w:pPr>
        <w:rPr>
          <w:lang w:val="en-GB"/>
        </w:rPr>
      </w:pPr>
      <w:r>
        <w:rPr>
          <w:lang w:val="en-GB"/>
        </w:rPr>
        <w:t xml:space="preserve">The figures above demonstrate that </w:t>
      </w:r>
      <w:r w:rsidR="005C10FB">
        <w:rPr>
          <w:lang w:val="en-GB"/>
        </w:rPr>
        <w:t xml:space="preserve">SECE CRIF will be set up as a genuine Public-Private Partnership whose major elements </w:t>
      </w:r>
      <w:r w:rsidR="00E66C41">
        <w:rPr>
          <w:lang w:val="en-GB"/>
        </w:rPr>
        <w:t xml:space="preserve">are </w:t>
      </w:r>
      <w:r w:rsidR="005C10FB">
        <w:rPr>
          <w:lang w:val="en-GB"/>
        </w:rPr>
        <w:t>as follows:</w:t>
      </w:r>
    </w:p>
    <w:p w:rsidR="005C10FB" w:rsidRDefault="005C10FB" w:rsidP="00884B38">
      <w:pPr>
        <w:rPr>
          <w:lang w:val="en-GB"/>
        </w:rPr>
      </w:pPr>
      <w:r w:rsidRPr="005C10FB">
        <w:rPr>
          <w:b/>
          <w:i/>
          <w:lang w:val="en-GB"/>
        </w:rPr>
        <w:t>Public Ownership</w:t>
      </w:r>
      <w:r w:rsidR="00A92C73" w:rsidRPr="005C10FB">
        <w:rPr>
          <w:b/>
          <w:i/>
          <w:lang w:val="en-GB"/>
        </w:rPr>
        <w:t>:</w:t>
      </w:r>
      <w:r>
        <w:rPr>
          <w:lang w:val="en-GB"/>
        </w:rPr>
        <w:t xml:space="preserve"> Due to the critical importance of government</w:t>
      </w:r>
      <w:r w:rsidR="000F0E13">
        <w:rPr>
          <w:lang w:val="en-GB"/>
        </w:rPr>
        <w:t>s</w:t>
      </w:r>
      <w:r>
        <w:rPr>
          <w:lang w:val="en-GB"/>
        </w:rPr>
        <w:t xml:space="preserve"> in creating and supporting the demand for cat insurance among homeo</w:t>
      </w:r>
      <w:r w:rsidR="0026655A">
        <w:rPr>
          <w:lang w:val="en-GB"/>
        </w:rPr>
        <w:t xml:space="preserve">wners and SMEs, the Facility will in the initial stage be owned and governed by member </w:t>
      </w:r>
      <w:r w:rsidR="000F0E13">
        <w:rPr>
          <w:lang w:val="en-GB"/>
        </w:rPr>
        <w:t>countries</w:t>
      </w:r>
      <w:r w:rsidR="0026655A">
        <w:rPr>
          <w:lang w:val="en-GB"/>
        </w:rPr>
        <w:t>.</w:t>
      </w:r>
    </w:p>
    <w:p w:rsidR="00A92C73" w:rsidRDefault="005C10FB" w:rsidP="00884B38">
      <w:pPr>
        <w:rPr>
          <w:lang w:val="en-GB"/>
        </w:rPr>
      </w:pPr>
      <w:r w:rsidRPr="0026655A">
        <w:rPr>
          <w:b/>
          <w:i/>
          <w:lang w:val="en-GB"/>
        </w:rPr>
        <w:t>Private Manag</w:t>
      </w:r>
      <w:r w:rsidR="0026655A" w:rsidRPr="0026655A">
        <w:rPr>
          <w:b/>
          <w:i/>
          <w:lang w:val="en-GB"/>
        </w:rPr>
        <w:t>e</w:t>
      </w:r>
      <w:r w:rsidRPr="0026655A">
        <w:rPr>
          <w:b/>
          <w:i/>
          <w:lang w:val="en-GB"/>
        </w:rPr>
        <w:t>m</w:t>
      </w:r>
      <w:r w:rsidR="0026655A" w:rsidRPr="0026655A">
        <w:rPr>
          <w:b/>
          <w:i/>
          <w:lang w:val="en-GB"/>
        </w:rPr>
        <w:t>ent:</w:t>
      </w:r>
      <w:r w:rsidR="0026655A">
        <w:rPr>
          <w:lang w:val="en-GB"/>
        </w:rPr>
        <w:t xml:space="preserve"> </w:t>
      </w:r>
      <w:r w:rsidR="00E66C41">
        <w:rPr>
          <w:lang w:val="en-GB"/>
        </w:rPr>
        <w:t xml:space="preserve">SECE CRIF will be managed by a special purpose, limited liability </w:t>
      </w:r>
      <w:proofErr w:type="gramStart"/>
      <w:r w:rsidR="00E66C41">
        <w:rPr>
          <w:lang w:val="en-GB"/>
        </w:rPr>
        <w:t>company</w:t>
      </w:r>
      <w:proofErr w:type="gramEnd"/>
      <w:r w:rsidR="00E66C41">
        <w:rPr>
          <w:lang w:val="en-GB"/>
        </w:rPr>
        <w:t xml:space="preserve"> under the likely name of </w:t>
      </w:r>
      <w:r w:rsidR="00E66C41" w:rsidRPr="009F73C9">
        <w:rPr>
          <w:i/>
          <w:lang w:val="en-GB"/>
        </w:rPr>
        <w:t>EUROPA RE</w:t>
      </w:r>
      <w:r w:rsidR="00E66C41">
        <w:rPr>
          <w:i/>
          <w:lang w:val="en-GB"/>
        </w:rPr>
        <w:t xml:space="preserve">. </w:t>
      </w:r>
      <w:r w:rsidR="00E66C41">
        <w:rPr>
          <w:lang w:val="en-GB"/>
        </w:rPr>
        <w:t>It</w:t>
      </w:r>
      <w:r w:rsidR="0026655A">
        <w:rPr>
          <w:lang w:val="en-GB"/>
        </w:rPr>
        <w:t xml:space="preserve"> will be a privately-owned insurance services </w:t>
      </w:r>
      <w:r w:rsidR="00E66C41">
        <w:rPr>
          <w:lang w:val="en-GB"/>
        </w:rPr>
        <w:lastRenderedPageBreak/>
        <w:t>firm</w:t>
      </w:r>
      <w:r w:rsidR="0026655A">
        <w:rPr>
          <w:lang w:val="en-GB"/>
        </w:rPr>
        <w:t xml:space="preserve">, providing underwriting, pricing and risk management support to the local primary insurers, as well as placing reinsurance on behalf of </w:t>
      </w:r>
      <w:r w:rsidR="00E66C41">
        <w:rPr>
          <w:lang w:val="en-GB"/>
        </w:rPr>
        <w:t xml:space="preserve">SECE </w:t>
      </w:r>
      <w:r w:rsidR="0026655A">
        <w:rPr>
          <w:lang w:val="en-GB"/>
        </w:rPr>
        <w:t>CRIF and, if necessary, entering into alternative risk financing arrangement with risk capital providers.</w:t>
      </w:r>
    </w:p>
    <w:p w:rsidR="00BC07D5" w:rsidRPr="00BC07D5" w:rsidRDefault="00BC07D5" w:rsidP="00440DDC">
      <w:pPr>
        <w:rPr>
          <w:lang w:val="en-GB"/>
        </w:rPr>
      </w:pPr>
      <w:r w:rsidRPr="00013EE7">
        <w:rPr>
          <w:b/>
          <w:i/>
          <w:lang w:val="en-GB"/>
        </w:rPr>
        <w:t>Corporate Governance:</w:t>
      </w:r>
      <w:r w:rsidRPr="00BC07D5">
        <w:rPr>
          <w:b/>
          <w:lang w:val="en-GB"/>
        </w:rPr>
        <w:t xml:space="preserve"> </w:t>
      </w:r>
      <w:r w:rsidR="00AC5AD4">
        <w:rPr>
          <w:lang w:val="en-GB"/>
        </w:rPr>
        <w:t>To ensure that the management of SECE CRIF is immune from potential political pressures that may adversely affect its operational and financial performance, o</w:t>
      </w:r>
      <w:r>
        <w:rPr>
          <w:lang w:val="en-GB"/>
        </w:rPr>
        <w:t>ne of the key elements envisaged by the business plan is a clear separation of the company’s business operations from t</w:t>
      </w:r>
      <w:r w:rsidR="000F0E13">
        <w:rPr>
          <w:lang w:val="en-GB"/>
        </w:rPr>
        <w:t>he government ownership of the F</w:t>
      </w:r>
      <w:r>
        <w:rPr>
          <w:lang w:val="en-GB"/>
        </w:rPr>
        <w:t xml:space="preserve">acility. EUROPA RE will </w:t>
      </w:r>
      <w:r w:rsidR="00AC5AD4">
        <w:rPr>
          <w:lang w:val="en-GB"/>
        </w:rPr>
        <w:t xml:space="preserve">thus </w:t>
      </w:r>
      <w:r>
        <w:rPr>
          <w:lang w:val="en-GB"/>
        </w:rPr>
        <w:t xml:space="preserve">have an independent professional board of directors consisting of reputable insurance/reinsurance professionals with </w:t>
      </w:r>
      <w:r w:rsidR="000F0E13">
        <w:rPr>
          <w:lang w:val="en-GB"/>
        </w:rPr>
        <w:t xml:space="preserve">a </w:t>
      </w:r>
      <w:r>
        <w:rPr>
          <w:lang w:val="en-GB"/>
        </w:rPr>
        <w:t>well established track record in the industry. Overall strategic oversight and policy advice will remain with the company’s shareholders</w:t>
      </w:r>
      <w:r w:rsidR="00AC5AD4">
        <w:rPr>
          <w:lang w:val="en-GB"/>
        </w:rPr>
        <w:t xml:space="preserve"> (the Ministries of Finance of the member countries)</w:t>
      </w:r>
      <w:r>
        <w:rPr>
          <w:lang w:val="en-GB"/>
        </w:rPr>
        <w:t xml:space="preserve"> and exercised through the Annual Meetings of Shareholders and the Advisory Policy Board.</w:t>
      </w:r>
    </w:p>
    <w:p w:rsidR="00AC5AD4" w:rsidRPr="00013EE7" w:rsidRDefault="00AC5AD4" w:rsidP="00AC5AD4">
      <w:pPr>
        <w:rPr>
          <w:lang w:val="en-GB"/>
        </w:rPr>
      </w:pPr>
      <w:r w:rsidRPr="00013EE7">
        <w:rPr>
          <w:b/>
          <w:i/>
          <w:lang w:val="en-GB"/>
        </w:rPr>
        <w:t>Exit strategy:</w:t>
      </w:r>
      <w:r w:rsidR="000F0E13">
        <w:rPr>
          <w:lang w:val="en-GB"/>
        </w:rPr>
        <w:t xml:space="preserve"> The g</w:t>
      </w:r>
      <w:r>
        <w:rPr>
          <w:lang w:val="en-GB"/>
        </w:rPr>
        <w:t>overnment shareholders will be able to sell up to 30% of their shares in 3 years from the commencement of SECE CRIF operations and up to 100% within 5 years to private investors</w:t>
      </w:r>
      <w:r w:rsidRPr="00013EE7">
        <w:rPr>
          <w:lang w:val="en-GB"/>
        </w:rPr>
        <w:t xml:space="preserve">. </w:t>
      </w:r>
    </w:p>
    <w:p w:rsidR="0040719A" w:rsidRDefault="00BC07D5" w:rsidP="00440DDC">
      <w:pPr>
        <w:rPr>
          <w:lang w:val="en-GB"/>
        </w:rPr>
      </w:pPr>
      <w:r w:rsidRPr="00013EE7">
        <w:rPr>
          <w:b/>
          <w:i/>
          <w:lang w:val="en-GB"/>
        </w:rPr>
        <w:t>Registration, Regulation and Supervision:</w:t>
      </w:r>
      <w:r w:rsidR="00AC5AD4" w:rsidRPr="00013EE7">
        <w:rPr>
          <w:b/>
          <w:i/>
          <w:lang w:val="en-GB"/>
        </w:rPr>
        <w:t xml:space="preserve"> </w:t>
      </w:r>
      <w:r w:rsidR="0040719A" w:rsidRPr="0040719A">
        <w:rPr>
          <w:lang w:val="en-GB"/>
        </w:rPr>
        <w:t xml:space="preserve">EUROPA RE will be domiciled </w:t>
      </w:r>
      <w:r w:rsidR="00A47A27">
        <w:rPr>
          <w:lang w:val="en-GB"/>
        </w:rPr>
        <w:t xml:space="preserve">and regulated </w:t>
      </w:r>
      <w:r w:rsidR="0040719A" w:rsidRPr="0040719A">
        <w:rPr>
          <w:lang w:val="en-GB"/>
        </w:rPr>
        <w:t xml:space="preserve">in </w:t>
      </w:r>
      <w:smartTag w:uri="urn:schemas-microsoft-com:office:smarttags" w:element="country-region">
        <w:smartTag w:uri="urn:schemas-microsoft-com:office:smarttags" w:element="place">
          <w:r w:rsidR="0040719A">
            <w:rPr>
              <w:lang w:val="en-GB"/>
            </w:rPr>
            <w:t>Switzerland</w:t>
          </w:r>
        </w:smartTag>
      </w:smartTag>
      <w:r w:rsidR="0040719A">
        <w:rPr>
          <w:lang w:val="en-GB"/>
        </w:rPr>
        <w:t xml:space="preserve"> which has </w:t>
      </w:r>
      <w:r w:rsidR="000F0E13">
        <w:rPr>
          <w:lang w:val="en-GB"/>
        </w:rPr>
        <w:t>a highly</w:t>
      </w:r>
      <w:r w:rsidR="0040719A">
        <w:rPr>
          <w:lang w:val="en-GB"/>
        </w:rPr>
        <w:t xml:space="preserve"> advanced and sound insura</w:t>
      </w:r>
      <w:r w:rsidR="00AC5AD4">
        <w:rPr>
          <w:lang w:val="en-GB"/>
        </w:rPr>
        <w:t>nce regulatory regime</w:t>
      </w:r>
      <w:r w:rsidR="0040719A">
        <w:rPr>
          <w:lang w:val="en-GB"/>
        </w:rPr>
        <w:t xml:space="preserve">. </w:t>
      </w:r>
      <w:r w:rsidR="005A404C">
        <w:rPr>
          <w:lang w:val="en-GB"/>
        </w:rPr>
        <w:t>On Fe</w:t>
      </w:r>
      <w:r w:rsidR="00A47A27">
        <w:rPr>
          <w:lang w:val="en-GB"/>
        </w:rPr>
        <w:t xml:space="preserve">bruary 4, 2009, the </w:t>
      </w:r>
      <w:r w:rsidR="00C54496">
        <w:rPr>
          <w:lang w:val="en-GB"/>
        </w:rPr>
        <w:t>Swiss financial market regulator (</w:t>
      </w:r>
      <w:r w:rsidR="00A47A27">
        <w:rPr>
          <w:lang w:val="en-GB"/>
        </w:rPr>
        <w:t>FINMA</w:t>
      </w:r>
      <w:r w:rsidR="00C54496">
        <w:rPr>
          <w:lang w:val="en-GB"/>
        </w:rPr>
        <w:t>)</w:t>
      </w:r>
      <w:r w:rsidR="00A47A27">
        <w:rPr>
          <w:lang w:val="en-GB"/>
        </w:rPr>
        <w:t xml:space="preserve"> issued</w:t>
      </w:r>
      <w:r w:rsidR="005A404C">
        <w:rPr>
          <w:lang w:val="en-GB"/>
        </w:rPr>
        <w:t xml:space="preserve"> a </w:t>
      </w:r>
      <w:r w:rsidR="00A8400A">
        <w:rPr>
          <w:lang w:val="en-GB"/>
        </w:rPr>
        <w:t>preliminary approval to the World Bank for</w:t>
      </w:r>
      <w:r w:rsidR="00A47A27">
        <w:rPr>
          <w:lang w:val="en-GB"/>
        </w:rPr>
        <w:t xml:space="preserve"> the registration and granting of the operating license for EUROPA RE. Subject to the submission of a final business plan</w:t>
      </w:r>
      <w:r w:rsidR="007C650F">
        <w:rPr>
          <w:lang w:val="en-GB"/>
        </w:rPr>
        <w:t xml:space="preserve">, the capitalization of </w:t>
      </w:r>
      <w:r w:rsidR="005E3555">
        <w:rPr>
          <w:lang w:val="en-GB"/>
        </w:rPr>
        <w:t>EUROPA RE</w:t>
      </w:r>
      <w:r w:rsidR="00A47A27">
        <w:rPr>
          <w:lang w:val="en-GB"/>
        </w:rPr>
        <w:t xml:space="preserve"> </w:t>
      </w:r>
      <w:r w:rsidR="007C650F">
        <w:rPr>
          <w:lang w:val="en-GB"/>
        </w:rPr>
        <w:t xml:space="preserve">and the </w:t>
      </w:r>
      <w:r w:rsidR="00C54496">
        <w:rPr>
          <w:lang w:val="en-GB"/>
        </w:rPr>
        <w:t>recruitment</w:t>
      </w:r>
      <w:r w:rsidR="007C650F">
        <w:rPr>
          <w:lang w:val="en-GB"/>
        </w:rPr>
        <w:t xml:space="preserve"> of the company manager, </w:t>
      </w:r>
      <w:r w:rsidR="00A47A27">
        <w:rPr>
          <w:lang w:val="en-GB"/>
        </w:rPr>
        <w:t xml:space="preserve">the </w:t>
      </w:r>
      <w:r w:rsidR="00C54496">
        <w:rPr>
          <w:lang w:val="en-GB"/>
        </w:rPr>
        <w:t>FIN</w:t>
      </w:r>
      <w:r w:rsidR="007C650F">
        <w:rPr>
          <w:lang w:val="en-GB"/>
        </w:rPr>
        <w:t>M</w:t>
      </w:r>
      <w:r w:rsidR="00C54496">
        <w:rPr>
          <w:lang w:val="en-GB"/>
        </w:rPr>
        <w:t>A</w:t>
      </w:r>
      <w:r w:rsidR="007C650F">
        <w:rPr>
          <w:lang w:val="en-GB"/>
        </w:rPr>
        <w:t xml:space="preserve"> </w:t>
      </w:r>
      <w:r w:rsidR="0046509F">
        <w:rPr>
          <w:lang w:val="en-GB"/>
        </w:rPr>
        <w:t>will</w:t>
      </w:r>
      <w:r w:rsidR="007C650F">
        <w:rPr>
          <w:lang w:val="en-GB"/>
        </w:rPr>
        <w:t xml:space="preserve"> issue the </w:t>
      </w:r>
      <w:r w:rsidR="00C54496">
        <w:rPr>
          <w:lang w:val="en-GB"/>
        </w:rPr>
        <w:t>final operating license in the second quarter of this year</w:t>
      </w:r>
      <w:r w:rsidR="00A47A27">
        <w:rPr>
          <w:lang w:val="en-GB"/>
        </w:rPr>
        <w:t>.</w:t>
      </w:r>
    </w:p>
    <w:p w:rsidR="00C54496" w:rsidRPr="00AC5AD4" w:rsidRDefault="001A0946" w:rsidP="00440DDC">
      <w:pPr>
        <w:rPr>
          <w:b/>
          <w:lang w:val="en-GB"/>
        </w:rPr>
      </w:pPr>
      <w:r>
        <w:rPr>
          <w:lang w:val="en-GB"/>
        </w:rPr>
        <w:t>SECE</w:t>
      </w:r>
      <w:r w:rsidR="00C54496">
        <w:rPr>
          <w:lang w:val="en-GB"/>
        </w:rPr>
        <w:t xml:space="preserve"> CRIF will also maintain </w:t>
      </w:r>
      <w:r w:rsidR="005E3555">
        <w:rPr>
          <w:lang w:val="en-GB"/>
        </w:rPr>
        <w:t xml:space="preserve">a </w:t>
      </w:r>
      <w:r w:rsidR="00C54496">
        <w:rPr>
          <w:lang w:val="en-GB"/>
        </w:rPr>
        <w:t xml:space="preserve">close </w:t>
      </w:r>
      <w:r w:rsidR="00013EE7">
        <w:rPr>
          <w:lang w:val="en-GB"/>
        </w:rPr>
        <w:t>dialogue with the participating countries’ insurance regulators to ensure compliance of the cat insurance products with the local statutory norms and regulations.</w:t>
      </w:r>
    </w:p>
    <w:p w:rsidR="00C151C8" w:rsidRDefault="00C151C8" w:rsidP="00751567">
      <w:pPr>
        <w:pStyle w:val="Heading1"/>
        <w:tabs>
          <w:tab w:val="clear" w:pos="851"/>
          <w:tab w:val="left" w:pos="426"/>
        </w:tabs>
        <w:ind w:left="426" w:hanging="426"/>
        <w:rPr>
          <w:lang w:val="en-GB"/>
        </w:rPr>
      </w:pPr>
      <w:r>
        <w:rPr>
          <w:lang w:val="en-GB"/>
        </w:rPr>
        <w:t xml:space="preserve">Beneficiaries </w:t>
      </w:r>
    </w:p>
    <w:p w:rsidR="00C151C8" w:rsidRDefault="00901419">
      <w:pPr>
        <w:rPr>
          <w:lang w:val="en-GB"/>
        </w:rPr>
      </w:pPr>
      <w:r>
        <w:rPr>
          <w:lang w:val="en-GB"/>
        </w:rPr>
        <w:t>The key</w:t>
      </w:r>
      <w:r w:rsidR="0041090C">
        <w:rPr>
          <w:lang w:val="en-GB"/>
        </w:rPr>
        <w:t xml:space="preserve"> beneficiaries of SECE CRIF are hom</w:t>
      </w:r>
      <w:r>
        <w:rPr>
          <w:lang w:val="en-GB"/>
        </w:rPr>
        <w:t>eowners and</w:t>
      </w:r>
      <w:r w:rsidR="0041090C">
        <w:rPr>
          <w:lang w:val="en-GB"/>
        </w:rPr>
        <w:t xml:space="preserve"> SMEs </w:t>
      </w:r>
      <w:r>
        <w:rPr>
          <w:lang w:val="en-GB"/>
        </w:rPr>
        <w:t xml:space="preserve">who will be able to buy a </w:t>
      </w:r>
      <w:r w:rsidR="005F26AF">
        <w:rPr>
          <w:lang w:val="en-GB"/>
        </w:rPr>
        <w:t xml:space="preserve">dependable </w:t>
      </w:r>
      <w:r>
        <w:rPr>
          <w:lang w:val="en-GB"/>
        </w:rPr>
        <w:t>stand-alone cat ins</w:t>
      </w:r>
      <w:r w:rsidR="005E3555">
        <w:rPr>
          <w:lang w:val="en-GB"/>
        </w:rPr>
        <w:t>urance cover separately from a</w:t>
      </w:r>
      <w:r>
        <w:rPr>
          <w:lang w:val="en-GB"/>
        </w:rPr>
        <w:t xml:space="preserve"> fire policy at a competitive price. Farmers are also likely to be among the main beneficiaries as climate change makes floods more extreme and frequent with the brunt falling on agricultural producers.</w:t>
      </w:r>
    </w:p>
    <w:p w:rsidR="0041090C" w:rsidRDefault="005E3555">
      <w:pPr>
        <w:rPr>
          <w:lang w:val="en-GB"/>
        </w:rPr>
      </w:pPr>
      <w:r>
        <w:rPr>
          <w:lang w:val="en-GB"/>
        </w:rPr>
        <w:t>Moreover, d</w:t>
      </w:r>
      <w:r w:rsidR="00901419">
        <w:rPr>
          <w:lang w:val="en-GB"/>
        </w:rPr>
        <w:t xml:space="preserve">irect </w:t>
      </w:r>
      <w:r w:rsidR="0041090C">
        <w:rPr>
          <w:lang w:val="en-GB"/>
        </w:rPr>
        <w:t>beneficiaries</w:t>
      </w:r>
      <w:r w:rsidR="00901419">
        <w:rPr>
          <w:lang w:val="en-GB"/>
        </w:rPr>
        <w:t xml:space="preserve"> include local </w:t>
      </w:r>
      <w:r w:rsidR="0041090C">
        <w:rPr>
          <w:lang w:val="en-GB"/>
        </w:rPr>
        <w:t xml:space="preserve">insurance </w:t>
      </w:r>
      <w:r w:rsidR="0046509F">
        <w:rPr>
          <w:lang w:val="en-GB"/>
        </w:rPr>
        <w:t>companies</w:t>
      </w:r>
      <w:r>
        <w:rPr>
          <w:lang w:val="en-GB"/>
        </w:rPr>
        <w:t xml:space="preserve"> in the participating countries</w:t>
      </w:r>
      <w:r w:rsidR="0041090C">
        <w:rPr>
          <w:lang w:val="en-GB"/>
        </w:rPr>
        <w:t xml:space="preserve"> </w:t>
      </w:r>
      <w:r w:rsidR="006F1DDA">
        <w:rPr>
          <w:lang w:val="en-GB"/>
        </w:rPr>
        <w:t>who will be able to expand</w:t>
      </w:r>
      <w:r>
        <w:rPr>
          <w:lang w:val="en-GB"/>
        </w:rPr>
        <w:t xml:space="preserve"> and deepen</w:t>
      </w:r>
      <w:r w:rsidR="006F1DDA">
        <w:rPr>
          <w:lang w:val="en-GB"/>
        </w:rPr>
        <w:t xml:space="preserve"> their business.</w:t>
      </w:r>
    </w:p>
    <w:p w:rsidR="0041090C" w:rsidRDefault="0041090C">
      <w:pPr>
        <w:rPr>
          <w:lang w:val="en-GB"/>
        </w:rPr>
      </w:pPr>
      <w:r>
        <w:rPr>
          <w:lang w:val="en-GB"/>
        </w:rPr>
        <w:t>The ultimate beneficiaries ar</w:t>
      </w:r>
      <w:r w:rsidR="005E3555">
        <w:rPr>
          <w:lang w:val="en-GB"/>
        </w:rPr>
        <w:t>e the participating states</w:t>
      </w:r>
      <w:r>
        <w:rPr>
          <w:lang w:val="en-GB"/>
        </w:rPr>
        <w:t xml:space="preserve"> and governments</w:t>
      </w:r>
      <w:r w:rsidR="00901419">
        <w:rPr>
          <w:lang w:val="en-GB"/>
        </w:rPr>
        <w:t xml:space="preserve"> who will be able to reduce the level of economic and fiscal exposure to natural disasters in the very near future.</w:t>
      </w:r>
      <w:r w:rsidR="0046509F">
        <w:rPr>
          <w:lang w:val="en-GB"/>
        </w:rPr>
        <w:t xml:space="preserve"> </w:t>
      </w:r>
    </w:p>
    <w:p w:rsidR="0046509F" w:rsidRDefault="0046509F">
      <w:pPr>
        <w:rPr>
          <w:lang w:val="en-GB"/>
        </w:rPr>
      </w:pPr>
      <w:r>
        <w:rPr>
          <w:lang w:val="en-GB"/>
        </w:rPr>
        <w:t xml:space="preserve">Once operational, the facility will also lessen </w:t>
      </w:r>
      <w:r w:rsidR="00ED49F5">
        <w:rPr>
          <w:lang w:val="en-GB"/>
        </w:rPr>
        <w:t xml:space="preserve">the </w:t>
      </w:r>
      <w:r>
        <w:rPr>
          <w:lang w:val="en-GB"/>
        </w:rPr>
        <w:t xml:space="preserve">pressure on the EU Solidarity Fund and EU countries who are major contributors to the Fund in the case of a major catastrophic event in one of the SECE CRIF member states. </w:t>
      </w:r>
    </w:p>
    <w:p w:rsidR="00C151C8" w:rsidRDefault="00723567" w:rsidP="00751567">
      <w:pPr>
        <w:pStyle w:val="Heading1"/>
        <w:tabs>
          <w:tab w:val="clear" w:pos="851"/>
          <w:tab w:val="left" w:pos="426"/>
        </w:tabs>
        <w:ind w:left="426" w:hanging="426"/>
        <w:rPr>
          <w:lang w:val="en-GB"/>
        </w:rPr>
      </w:pPr>
      <w:r>
        <w:rPr>
          <w:lang w:val="en-GB"/>
        </w:rPr>
        <w:t>Program activities</w:t>
      </w:r>
      <w:r w:rsidR="00595329">
        <w:rPr>
          <w:lang w:val="en-GB"/>
        </w:rPr>
        <w:t xml:space="preserve"> to be funded by donors</w:t>
      </w:r>
      <w:r w:rsidR="00751567">
        <w:rPr>
          <w:lang w:val="en-GB"/>
        </w:rPr>
        <w:t xml:space="preserve"> </w:t>
      </w:r>
    </w:p>
    <w:p w:rsidR="00735E2D" w:rsidRDefault="00331E75" w:rsidP="00004BD9">
      <w:pPr>
        <w:rPr>
          <w:lang w:val="en-GB"/>
        </w:rPr>
      </w:pPr>
      <w:r w:rsidRPr="00331E75">
        <w:rPr>
          <w:lang w:val="en-GB"/>
        </w:rPr>
        <w:t xml:space="preserve">The World Bank </w:t>
      </w:r>
      <w:r>
        <w:rPr>
          <w:lang w:val="en-GB"/>
        </w:rPr>
        <w:t>aims</w:t>
      </w:r>
      <w:r w:rsidRPr="00331E75">
        <w:rPr>
          <w:lang w:val="en-GB"/>
        </w:rPr>
        <w:t xml:space="preserve"> at </w:t>
      </w:r>
      <w:r>
        <w:rPr>
          <w:lang w:val="en-GB"/>
        </w:rPr>
        <w:t>making</w:t>
      </w:r>
      <w:r w:rsidRPr="00331E75">
        <w:rPr>
          <w:lang w:val="en-GB"/>
        </w:rPr>
        <w:t xml:space="preserve"> SECE CRIF operational by </w:t>
      </w:r>
      <w:r w:rsidR="00C76BA7" w:rsidRPr="00C76BA7">
        <w:rPr>
          <w:lang w:val="en-GB"/>
        </w:rPr>
        <w:t>August</w:t>
      </w:r>
      <w:r w:rsidR="00004BD9" w:rsidRPr="00C76BA7">
        <w:rPr>
          <w:lang w:val="en-GB"/>
        </w:rPr>
        <w:t>,</w:t>
      </w:r>
      <w:r w:rsidR="00004BD9" w:rsidRPr="00331E75">
        <w:rPr>
          <w:lang w:val="en-GB"/>
        </w:rPr>
        <w:t xml:space="preserve"> 2009. </w:t>
      </w:r>
      <w:r w:rsidR="00595329">
        <w:rPr>
          <w:lang w:val="en-GB"/>
        </w:rPr>
        <w:t>So far, all project preparation work has been funded jointly by the Bank, GFDRR, UN ISDR, and RCC which together have spent to the tune of USD 0.</w:t>
      </w:r>
      <w:r w:rsidR="005007E0">
        <w:rPr>
          <w:lang w:val="en-GB"/>
        </w:rPr>
        <w:t>7</w:t>
      </w:r>
      <w:r w:rsidR="00595329">
        <w:rPr>
          <w:lang w:val="en-GB"/>
        </w:rPr>
        <w:t xml:space="preserve"> million on consultants and staff time. Once facility becomes operational, further technical work will be financed by </w:t>
      </w:r>
      <w:r w:rsidR="00735E2D">
        <w:rPr>
          <w:lang w:val="en-GB"/>
        </w:rPr>
        <w:t xml:space="preserve">a USD 2.5 million grant from </w:t>
      </w:r>
      <w:r w:rsidR="00735E2D">
        <w:rPr>
          <w:lang w:val="en-GB"/>
        </w:rPr>
        <w:lastRenderedPageBreak/>
        <w:t xml:space="preserve">SECO, which will </w:t>
      </w:r>
      <w:r w:rsidR="00C03FE3">
        <w:rPr>
          <w:lang w:val="en-GB"/>
        </w:rPr>
        <w:t xml:space="preserve">assist the CRIF in </w:t>
      </w:r>
      <w:r w:rsidR="00551BAA">
        <w:rPr>
          <w:lang w:val="en-GB"/>
        </w:rPr>
        <w:t xml:space="preserve">carrying out key preparatory technical activities </w:t>
      </w:r>
      <w:r w:rsidR="00735E2D">
        <w:rPr>
          <w:lang w:val="en-GB"/>
        </w:rPr>
        <w:t xml:space="preserve">such as </w:t>
      </w:r>
      <w:r w:rsidR="00551BAA">
        <w:rPr>
          <w:lang w:val="en-GB"/>
        </w:rPr>
        <w:t>country risk assessments, and development of actuarial and underwriting tools</w:t>
      </w:r>
      <w:r w:rsidR="0046509F" w:rsidRPr="0046509F">
        <w:rPr>
          <w:lang w:val="en-GB"/>
        </w:rPr>
        <w:t xml:space="preserve"> </w:t>
      </w:r>
      <w:r w:rsidR="0046509F">
        <w:rPr>
          <w:lang w:val="en-GB"/>
        </w:rPr>
        <w:t>as well as the compensation of the independent Board of Directors during the start-up phase and the fees for the registration of the Facility in Switzerland by way of an equity injection</w:t>
      </w:r>
      <w:r w:rsidR="00551BAA">
        <w:rPr>
          <w:lang w:val="en-GB"/>
        </w:rPr>
        <w:t xml:space="preserve">. </w:t>
      </w:r>
    </w:p>
    <w:p w:rsidR="00004BD9" w:rsidRDefault="00551BAA" w:rsidP="00004BD9">
      <w:pPr>
        <w:rPr>
          <w:lang w:val="en-GB"/>
        </w:rPr>
      </w:pPr>
      <w:r>
        <w:rPr>
          <w:lang w:val="en-GB"/>
        </w:rPr>
        <w:t xml:space="preserve">However, </w:t>
      </w:r>
      <w:r w:rsidR="00735E2D">
        <w:rPr>
          <w:lang w:val="en-GB"/>
        </w:rPr>
        <w:t xml:space="preserve">despite all the efforts, </w:t>
      </w:r>
      <w:r>
        <w:rPr>
          <w:lang w:val="en-GB"/>
        </w:rPr>
        <w:t>the launch the program ha</w:t>
      </w:r>
      <w:r w:rsidR="003932BD">
        <w:rPr>
          <w:lang w:val="en-GB"/>
        </w:rPr>
        <w:t>s</w:t>
      </w:r>
      <w:r>
        <w:rPr>
          <w:lang w:val="en-GB"/>
        </w:rPr>
        <w:t xml:space="preserve"> been hampered by the global financial crisis which severely affected countries</w:t>
      </w:r>
      <w:r w:rsidR="00DD0189">
        <w:rPr>
          <w:lang w:val="en-GB"/>
        </w:rPr>
        <w:t>’</w:t>
      </w:r>
      <w:r>
        <w:rPr>
          <w:lang w:val="en-GB"/>
        </w:rPr>
        <w:t xml:space="preserve"> ability to make the expected equity</w:t>
      </w:r>
      <w:r w:rsidR="00DD0189">
        <w:rPr>
          <w:lang w:val="en-GB"/>
        </w:rPr>
        <w:t xml:space="preserve"> contributions to the facility</w:t>
      </w:r>
      <w:r w:rsidR="003932BD">
        <w:rPr>
          <w:lang w:val="en-GB"/>
        </w:rPr>
        <w:t xml:space="preserve">. </w:t>
      </w:r>
      <w:r w:rsidR="00DD0189">
        <w:rPr>
          <w:lang w:val="en-GB"/>
        </w:rPr>
        <w:t xml:space="preserve">So far, </w:t>
      </w:r>
      <w:r w:rsidR="003932BD">
        <w:rPr>
          <w:lang w:val="en-GB"/>
        </w:rPr>
        <w:t xml:space="preserve">out of the minimum capital of </w:t>
      </w:r>
      <w:r w:rsidR="00595329">
        <w:rPr>
          <w:rFonts w:cs="Arial"/>
          <w:lang w:val="en-GB"/>
        </w:rPr>
        <w:t>€</w:t>
      </w:r>
      <w:r w:rsidR="00735E2D">
        <w:rPr>
          <w:lang w:val="en-GB"/>
        </w:rPr>
        <w:t>16</w:t>
      </w:r>
      <w:r w:rsidR="003932BD">
        <w:rPr>
          <w:lang w:val="en-GB"/>
        </w:rPr>
        <w:t xml:space="preserve"> million required to finance country contributions </w:t>
      </w:r>
      <w:r w:rsidR="00DD0189">
        <w:rPr>
          <w:lang w:val="en-GB"/>
        </w:rPr>
        <w:t xml:space="preserve">only Albania was able to lock in a $2.0 million </w:t>
      </w:r>
      <w:r w:rsidR="000D1C53">
        <w:rPr>
          <w:lang w:val="en-GB"/>
        </w:rPr>
        <w:t xml:space="preserve">equity </w:t>
      </w:r>
      <w:r w:rsidR="00DD0189">
        <w:rPr>
          <w:lang w:val="en-GB"/>
        </w:rPr>
        <w:t xml:space="preserve">contribution to the facility by borrowing from the Bank for a disaster </w:t>
      </w:r>
      <w:r w:rsidR="000D1C53">
        <w:rPr>
          <w:lang w:val="en-GB"/>
        </w:rPr>
        <w:t>preparedness project</w:t>
      </w:r>
      <w:r w:rsidR="00735E2D">
        <w:rPr>
          <w:lang w:val="en-GB"/>
        </w:rPr>
        <w:t xml:space="preserve"> – but even that amount is not certain as the project has not been made effective</w:t>
      </w:r>
      <w:r w:rsidR="00ED49F5" w:rsidRPr="00ED49F5">
        <w:rPr>
          <w:lang w:val="en-GB"/>
        </w:rPr>
        <w:t xml:space="preserve"> </w:t>
      </w:r>
      <w:r w:rsidR="00ED49F5">
        <w:rPr>
          <w:lang w:val="en-GB"/>
        </w:rPr>
        <w:t>yet</w:t>
      </w:r>
      <w:r w:rsidR="003932BD">
        <w:rPr>
          <w:lang w:val="en-GB"/>
        </w:rPr>
        <w:t xml:space="preserve">. </w:t>
      </w:r>
      <w:r w:rsidR="000D1C53">
        <w:rPr>
          <w:lang w:val="en-GB"/>
        </w:rPr>
        <w:t>Hence, the Bank, jointly with its regional partners – the Regional Cooperation Council and the UN ISDR</w:t>
      </w:r>
      <w:r w:rsidR="003932BD">
        <w:rPr>
          <w:lang w:val="en-GB"/>
        </w:rPr>
        <w:t xml:space="preserve"> – is currently seeking donors’ contributions toward this important regional initiative. The expected equity contributions of the countries that have already expressed their interest to join the program </w:t>
      </w:r>
      <w:r w:rsidR="00ED49F5">
        <w:rPr>
          <w:lang w:val="en-GB"/>
        </w:rPr>
        <w:t xml:space="preserve">in FY09 </w:t>
      </w:r>
      <w:r w:rsidR="003932BD">
        <w:rPr>
          <w:lang w:val="en-GB"/>
        </w:rPr>
        <w:t>are as follows:</w:t>
      </w:r>
    </w:p>
    <w:p w:rsidR="003932BD" w:rsidRDefault="003932BD" w:rsidP="00004BD9">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2"/>
        <w:gridCol w:w="2952"/>
        <w:gridCol w:w="2952"/>
      </w:tblGrid>
      <w:tr w:rsidR="003932BD" w:rsidRPr="00A942F9" w:rsidTr="003932BD">
        <w:tc>
          <w:tcPr>
            <w:tcW w:w="2952" w:type="dxa"/>
          </w:tcPr>
          <w:p w:rsidR="003932BD" w:rsidRPr="00A942F9" w:rsidRDefault="003932BD" w:rsidP="003932BD">
            <w:pPr>
              <w:jc w:val="center"/>
              <w:rPr>
                <w:lang w:val="en-GB"/>
              </w:rPr>
            </w:pPr>
            <w:r w:rsidRPr="00A942F9">
              <w:rPr>
                <w:lang w:val="en-GB"/>
              </w:rPr>
              <w:t>Country</w:t>
            </w:r>
          </w:p>
        </w:tc>
        <w:tc>
          <w:tcPr>
            <w:tcW w:w="2952" w:type="dxa"/>
          </w:tcPr>
          <w:p w:rsidR="003932BD" w:rsidRPr="00A942F9" w:rsidRDefault="00595329" w:rsidP="003932BD">
            <w:pPr>
              <w:jc w:val="center"/>
              <w:rPr>
                <w:lang w:val="en-GB"/>
              </w:rPr>
            </w:pPr>
            <w:r>
              <w:rPr>
                <w:lang w:val="en-GB"/>
              </w:rPr>
              <w:t xml:space="preserve">Equity </w:t>
            </w:r>
            <w:r w:rsidR="003932BD" w:rsidRPr="00A942F9">
              <w:rPr>
                <w:lang w:val="en-GB"/>
              </w:rPr>
              <w:t xml:space="preserve">contribution </w:t>
            </w:r>
          </w:p>
          <w:p w:rsidR="003932BD" w:rsidRPr="00A942F9" w:rsidRDefault="003932BD" w:rsidP="003932BD">
            <w:pPr>
              <w:jc w:val="center"/>
              <w:rPr>
                <w:lang w:val="en-GB"/>
              </w:rPr>
            </w:pPr>
            <w:r w:rsidRPr="00A942F9">
              <w:rPr>
                <w:lang w:val="en-GB"/>
              </w:rPr>
              <w:t>(USD MM)</w:t>
            </w:r>
          </w:p>
        </w:tc>
        <w:tc>
          <w:tcPr>
            <w:tcW w:w="2952" w:type="dxa"/>
          </w:tcPr>
          <w:p w:rsidR="003932BD" w:rsidRPr="00A942F9" w:rsidRDefault="003932BD" w:rsidP="003932BD">
            <w:pPr>
              <w:jc w:val="center"/>
              <w:rPr>
                <w:lang w:val="en-GB"/>
              </w:rPr>
            </w:pPr>
            <w:r w:rsidRPr="00A942F9">
              <w:rPr>
                <w:lang w:val="en-GB"/>
              </w:rPr>
              <w:t>FY</w:t>
            </w:r>
          </w:p>
        </w:tc>
      </w:tr>
      <w:tr w:rsidR="003932BD" w:rsidRPr="00A942F9" w:rsidTr="003932BD">
        <w:tc>
          <w:tcPr>
            <w:tcW w:w="2952" w:type="dxa"/>
          </w:tcPr>
          <w:p w:rsidR="003932BD" w:rsidRPr="00A942F9" w:rsidRDefault="003932BD" w:rsidP="003932BD">
            <w:pPr>
              <w:rPr>
                <w:lang w:val="en-GB"/>
              </w:rPr>
            </w:pPr>
            <w:r>
              <w:rPr>
                <w:lang w:val="en-GB"/>
              </w:rPr>
              <w:t>Albania</w:t>
            </w:r>
          </w:p>
        </w:tc>
        <w:tc>
          <w:tcPr>
            <w:tcW w:w="2952" w:type="dxa"/>
          </w:tcPr>
          <w:p w:rsidR="003932BD" w:rsidRPr="00A942F9" w:rsidRDefault="003932BD" w:rsidP="003932BD">
            <w:pPr>
              <w:jc w:val="center"/>
              <w:rPr>
                <w:lang w:val="en-GB"/>
              </w:rPr>
            </w:pPr>
            <w:r>
              <w:rPr>
                <w:lang w:val="en-GB"/>
              </w:rPr>
              <w:t>2.0</w:t>
            </w:r>
          </w:p>
        </w:tc>
        <w:tc>
          <w:tcPr>
            <w:tcW w:w="2952" w:type="dxa"/>
          </w:tcPr>
          <w:p w:rsidR="003932BD" w:rsidRPr="00A942F9" w:rsidRDefault="003932BD" w:rsidP="003932BD">
            <w:pPr>
              <w:jc w:val="center"/>
              <w:rPr>
                <w:lang w:val="en-GB"/>
              </w:rPr>
            </w:pPr>
            <w:r>
              <w:rPr>
                <w:lang w:val="en-GB"/>
              </w:rPr>
              <w:t>FY09</w:t>
            </w:r>
          </w:p>
        </w:tc>
      </w:tr>
      <w:tr w:rsidR="003932BD" w:rsidRPr="00A942F9" w:rsidTr="003932BD">
        <w:tc>
          <w:tcPr>
            <w:tcW w:w="2952" w:type="dxa"/>
          </w:tcPr>
          <w:p w:rsidR="003932BD" w:rsidRPr="00A942F9" w:rsidRDefault="003932BD" w:rsidP="003932BD">
            <w:pPr>
              <w:rPr>
                <w:lang w:val="en-GB"/>
              </w:rPr>
            </w:pPr>
            <w:r w:rsidRPr="00A942F9">
              <w:rPr>
                <w:lang w:val="en-GB"/>
              </w:rPr>
              <w:t xml:space="preserve">Bosnia and Herzegovina </w:t>
            </w:r>
          </w:p>
        </w:tc>
        <w:tc>
          <w:tcPr>
            <w:tcW w:w="2952" w:type="dxa"/>
          </w:tcPr>
          <w:p w:rsidR="003932BD" w:rsidRPr="00A942F9" w:rsidRDefault="003932BD" w:rsidP="003932BD">
            <w:pPr>
              <w:jc w:val="center"/>
              <w:rPr>
                <w:lang w:val="en-GB"/>
              </w:rPr>
            </w:pPr>
            <w:r w:rsidRPr="00A942F9">
              <w:rPr>
                <w:lang w:val="en-GB"/>
              </w:rPr>
              <w:t>2.7</w:t>
            </w:r>
          </w:p>
        </w:tc>
        <w:tc>
          <w:tcPr>
            <w:tcW w:w="2952" w:type="dxa"/>
          </w:tcPr>
          <w:p w:rsidR="003932BD" w:rsidRPr="00A942F9" w:rsidRDefault="003932BD" w:rsidP="003932BD">
            <w:pPr>
              <w:jc w:val="center"/>
              <w:rPr>
                <w:lang w:val="en-GB"/>
              </w:rPr>
            </w:pPr>
            <w:r w:rsidRPr="00A942F9">
              <w:rPr>
                <w:lang w:val="en-GB"/>
              </w:rPr>
              <w:t>FY09</w:t>
            </w:r>
          </w:p>
        </w:tc>
      </w:tr>
      <w:tr w:rsidR="003932BD" w:rsidRPr="00A942F9" w:rsidTr="003932BD">
        <w:tc>
          <w:tcPr>
            <w:tcW w:w="2952" w:type="dxa"/>
          </w:tcPr>
          <w:p w:rsidR="003932BD" w:rsidRPr="00A942F9" w:rsidRDefault="003932BD" w:rsidP="00595329">
            <w:pPr>
              <w:rPr>
                <w:lang w:val="en-GB"/>
              </w:rPr>
            </w:pPr>
            <w:r w:rsidRPr="00A942F9">
              <w:rPr>
                <w:lang w:val="en-GB"/>
              </w:rPr>
              <w:t xml:space="preserve">Bulgaria </w:t>
            </w:r>
          </w:p>
        </w:tc>
        <w:tc>
          <w:tcPr>
            <w:tcW w:w="2952" w:type="dxa"/>
          </w:tcPr>
          <w:p w:rsidR="003932BD" w:rsidRPr="00A942F9" w:rsidRDefault="00595329" w:rsidP="003932BD">
            <w:pPr>
              <w:jc w:val="center"/>
              <w:rPr>
                <w:lang w:val="en-GB"/>
              </w:rPr>
            </w:pPr>
            <w:r>
              <w:rPr>
                <w:lang w:val="en-GB"/>
              </w:rPr>
              <w:t>5</w:t>
            </w:r>
            <w:r w:rsidR="003932BD" w:rsidRPr="00A942F9">
              <w:rPr>
                <w:lang w:val="en-GB"/>
              </w:rPr>
              <w:t>.0</w:t>
            </w:r>
          </w:p>
        </w:tc>
        <w:tc>
          <w:tcPr>
            <w:tcW w:w="2952" w:type="dxa"/>
          </w:tcPr>
          <w:p w:rsidR="003932BD" w:rsidRPr="00A942F9" w:rsidRDefault="003932BD" w:rsidP="003932BD">
            <w:pPr>
              <w:jc w:val="center"/>
              <w:rPr>
                <w:lang w:val="en-GB"/>
              </w:rPr>
            </w:pPr>
            <w:r w:rsidRPr="00A942F9">
              <w:rPr>
                <w:lang w:val="en-GB"/>
              </w:rPr>
              <w:t>FY09</w:t>
            </w:r>
          </w:p>
        </w:tc>
      </w:tr>
      <w:tr w:rsidR="003932BD" w:rsidRPr="00A942F9" w:rsidTr="003932BD">
        <w:tc>
          <w:tcPr>
            <w:tcW w:w="2952" w:type="dxa"/>
          </w:tcPr>
          <w:p w:rsidR="003932BD" w:rsidRPr="00A942F9" w:rsidRDefault="00595329" w:rsidP="00595329">
            <w:pPr>
              <w:rPr>
                <w:lang w:val="en-GB"/>
              </w:rPr>
            </w:pPr>
            <w:r w:rsidRPr="00A942F9">
              <w:rPr>
                <w:lang w:val="en-GB"/>
              </w:rPr>
              <w:t xml:space="preserve">Montenegro </w:t>
            </w:r>
          </w:p>
        </w:tc>
        <w:tc>
          <w:tcPr>
            <w:tcW w:w="2952" w:type="dxa"/>
          </w:tcPr>
          <w:p w:rsidR="003932BD" w:rsidRPr="00A942F9" w:rsidRDefault="00595329" w:rsidP="003932BD">
            <w:pPr>
              <w:jc w:val="center"/>
              <w:rPr>
                <w:lang w:val="en-GB"/>
              </w:rPr>
            </w:pPr>
            <w:r>
              <w:rPr>
                <w:lang w:val="en-GB"/>
              </w:rPr>
              <w:t>1</w:t>
            </w:r>
            <w:r w:rsidR="003932BD" w:rsidRPr="00A942F9">
              <w:rPr>
                <w:lang w:val="en-GB"/>
              </w:rPr>
              <w:t>.0</w:t>
            </w:r>
          </w:p>
        </w:tc>
        <w:tc>
          <w:tcPr>
            <w:tcW w:w="2952" w:type="dxa"/>
          </w:tcPr>
          <w:p w:rsidR="003932BD" w:rsidRPr="00A942F9" w:rsidRDefault="003932BD" w:rsidP="00595329">
            <w:pPr>
              <w:jc w:val="center"/>
              <w:rPr>
                <w:lang w:val="en-GB"/>
              </w:rPr>
            </w:pPr>
            <w:r w:rsidRPr="00A942F9">
              <w:rPr>
                <w:lang w:val="en-GB"/>
              </w:rPr>
              <w:t>FY9</w:t>
            </w:r>
          </w:p>
        </w:tc>
      </w:tr>
      <w:tr w:rsidR="003932BD" w:rsidRPr="00A942F9" w:rsidTr="003932BD">
        <w:tc>
          <w:tcPr>
            <w:tcW w:w="2952" w:type="dxa"/>
          </w:tcPr>
          <w:p w:rsidR="003932BD" w:rsidRPr="00A942F9" w:rsidRDefault="00595329" w:rsidP="003932BD">
            <w:pPr>
              <w:rPr>
                <w:lang w:val="en-GB"/>
              </w:rPr>
            </w:pPr>
            <w:r w:rsidRPr="00A942F9">
              <w:rPr>
                <w:lang w:val="en-GB"/>
              </w:rPr>
              <w:t>Serbia</w:t>
            </w:r>
          </w:p>
        </w:tc>
        <w:tc>
          <w:tcPr>
            <w:tcW w:w="2952" w:type="dxa"/>
          </w:tcPr>
          <w:p w:rsidR="003932BD" w:rsidRPr="00A942F9" w:rsidRDefault="003932BD" w:rsidP="003932BD">
            <w:pPr>
              <w:jc w:val="center"/>
              <w:rPr>
                <w:lang w:val="en-GB"/>
              </w:rPr>
            </w:pPr>
            <w:r w:rsidRPr="00A942F9">
              <w:rPr>
                <w:lang w:val="en-GB"/>
              </w:rPr>
              <w:t>5.0</w:t>
            </w:r>
          </w:p>
        </w:tc>
        <w:tc>
          <w:tcPr>
            <w:tcW w:w="2952" w:type="dxa"/>
          </w:tcPr>
          <w:p w:rsidR="003932BD" w:rsidRPr="00A942F9" w:rsidRDefault="003932BD" w:rsidP="00595329">
            <w:pPr>
              <w:jc w:val="center"/>
              <w:rPr>
                <w:lang w:val="en-GB"/>
              </w:rPr>
            </w:pPr>
            <w:r w:rsidRPr="00A942F9">
              <w:rPr>
                <w:lang w:val="en-GB"/>
              </w:rPr>
              <w:t>FY9</w:t>
            </w:r>
          </w:p>
        </w:tc>
      </w:tr>
      <w:tr w:rsidR="003932BD" w:rsidRPr="00A942F9" w:rsidTr="003932BD">
        <w:tc>
          <w:tcPr>
            <w:tcW w:w="2952" w:type="dxa"/>
          </w:tcPr>
          <w:p w:rsidR="003932BD" w:rsidRPr="00A942F9" w:rsidRDefault="003932BD" w:rsidP="003932BD">
            <w:pPr>
              <w:rPr>
                <w:b/>
                <w:lang w:val="en-GB"/>
              </w:rPr>
            </w:pPr>
            <w:r w:rsidRPr="00A942F9">
              <w:rPr>
                <w:b/>
                <w:lang w:val="en-GB"/>
              </w:rPr>
              <w:t>Total</w:t>
            </w:r>
          </w:p>
        </w:tc>
        <w:tc>
          <w:tcPr>
            <w:tcW w:w="2952" w:type="dxa"/>
          </w:tcPr>
          <w:p w:rsidR="003932BD" w:rsidRPr="00A942F9" w:rsidRDefault="003932BD" w:rsidP="00595329">
            <w:pPr>
              <w:jc w:val="center"/>
              <w:rPr>
                <w:b/>
                <w:lang w:val="en-GB"/>
              </w:rPr>
            </w:pPr>
            <w:r>
              <w:rPr>
                <w:b/>
                <w:lang w:val="en-GB"/>
              </w:rPr>
              <w:t>1</w:t>
            </w:r>
            <w:r w:rsidR="00595329">
              <w:rPr>
                <w:b/>
                <w:lang w:val="en-GB"/>
              </w:rPr>
              <w:t>5</w:t>
            </w:r>
            <w:r w:rsidRPr="00A942F9">
              <w:rPr>
                <w:b/>
                <w:lang w:val="en-GB"/>
              </w:rPr>
              <w:t>.</w:t>
            </w:r>
            <w:r>
              <w:rPr>
                <w:b/>
                <w:lang w:val="en-GB"/>
              </w:rPr>
              <w:t>7</w:t>
            </w:r>
          </w:p>
        </w:tc>
        <w:tc>
          <w:tcPr>
            <w:tcW w:w="2952" w:type="dxa"/>
          </w:tcPr>
          <w:p w:rsidR="003932BD" w:rsidRPr="00A942F9" w:rsidRDefault="003932BD" w:rsidP="003932BD">
            <w:pPr>
              <w:jc w:val="center"/>
              <w:rPr>
                <w:b/>
                <w:lang w:val="en-GB"/>
              </w:rPr>
            </w:pPr>
          </w:p>
        </w:tc>
      </w:tr>
    </w:tbl>
    <w:p w:rsidR="003932BD" w:rsidRDefault="00735E2D" w:rsidP="00004BD9">
      <w:pPr>
        <w:rPr>
          <w:lang w:val="en-GB"/>
        </w:rPr>
      </w:pPr>
      <w:r>
        <w:rPr>
          <w:lang w:val="en-GB"/>
        </w:rPr>
        <w:t xml:space="preserve">It is expected however that several other countries of the region such as Montenegro, Moldova, and Croatia </w:t>
      </w:r>
      <w:r w:rsidR="005007E0">
        <w:rPr>
          <w:lang w:val="en-GB"/>
        </w:rPr>
        <w:t xml:space="preserve">and possibly several countries of Central Europe </w:t>
      </w:r>
      <w:r>
        <w:rPr>
          <w:lang w:val="en-GB"/>
        </w:rPr>
        <w:t xml:space="preserve">are likely to join the program as well over the next few years. </w:t>
      </w:r>
    </w:p>
    <w:p w:rsidR="00595329" w:rsidRDefault="00595329" w:rsidP="00004BD9">
      <w:pPr>
        <w:rPr>
          <w:lang w:val="en-GB"/>
        </w:rPr>
      </w:pPr>
      <w:r>
        <w:rPr>
          <w:lang w:val="en-GB"/>
        </w:rPr>
        <w:t>In addition to the countries’ equity contributions, the Bank is seeking US</w:t>
      </w:r>
      <w:r w:rsidR="00735E2D">
        <w:rPr>
          <w:lang w:val="en-GB"/>
        </w:rPr>
        <w:t xml:space="preserve"> </w:t>
      </w:r>
      <w:r>
        <w:rPr>
          <w:lang w:val="en-GB"/>
        </w:rPr>
        <w:t xml:space="preserve">5 mm to finance the management contract for the first five years of the facility operations as the facility’s operational income during the start-up phase will be insufficient to cover its fixed costs. Hence, all-in-all, the overall contribution sought from </w:t>
      </w:r>
      <w:proofErr w:type="gramStart"/>
      <w:r>
        <w:rPr>
          <w:lang w:val="en-GB"/>
        </w:rPr>
        <w:t>donors</w:t>
      </w:r>
      <w:proofErr w:type="gramEnd"/>
      <w:r>
        <w:rPr>
          <w:lang w:val="en-GB"/>
        </w:rPr>
        <w:t xml:space="preserve"> amounts to USD 20.7 million or about </w:t>
      </w:r>
      <w:r>
        <w:rPr>
          <w:rFonts w:cs="Arial"/>
          <w:lang w:val="en-GB"/>
        </w:rPr>
        <w:t>€</w:t>
      </w:r>
      <w:r>
        <w:rPr>
          <w:lang w:val="en-GB"/>
        </w:rPr>
        <w:t>16 million at today’s exchange rate.</w:t>
      </w:r>
      <w:r w:rsidR="00735E2D">
        <w:rPr>
          <w:lang w:val="en-GB"/>
        </w:rPr>
        <w:t xml:space="preserve"> See Table below.</w:t>
      </w:r>
    </w:p>
    <w:p w:rsidR="00735E2D" w:rsidRDefault="00735E2D" w:rsidP="00004BD9">
      <w:pPr>
        <w:rPr>
          <w:lang w:val="en-GB"/>
        </w:rPr>
      </w:pPr>
    </w:p>
    <w:tbl>
      <w:tblPr>
        <w:tblStyle w:val="TableGrid"/>
        <w:tblW w:w="0" w:type="auto"/>
        <w:tblLook w:val="04A0"/>
      </w:tblPr>
      <w:tblGrid>
        <w:gridCol w:w="3206"/>
        <w:gridCol w:w="3206"/>
      </w:tblGrid>
      <w:tr w:rsidR="00735E2D" w:rsidTr="00735E2D">
        <w:trPr>
          <w:trHeight w:val="182"/>
        </w:trPr>
        <w:tc>
          <w:tcPr>
            <w:tcW w:w="3206" w:type="dxa"/>
          </w:tcPr>
          <w:p w:rsidR="00735E2D" w:rsidRDefault="00735E2D" w:rsidP="00735E2D">
            <w:pPr>
              <w:jc w:val="center"/>
              <w:rPr>
                <w:lang w:val="en-GB"/>
              </w:rPr>
            </w:pPr>
            <w:r>
              <w:rPr>
                <w:lang w:val="en-GB"/>
              </w:rPr>
              <w:t>Activities to be financed</w:t>
            </w:r>
          </w:p>
        </w:tc>
        <w:tc>
          <w:tcPr>
            <w:tcW w:w="3206" w:type="dxa"/>
          </w:tcPr>
          <w:p w:rsidR="00735E2D" w:rsidRDefault="00735E2D" w:rsidP="00735E2D">
            <w:pPr>
              <w:jc w:val="center"/>
              <w:rPr>
                <w:lang w:val="en-GB"/>
              </w:rPr>
            </w:pPr>
            <w:r>
              <w:rPr>
                <w:lang w:val="en-GB"/>
              </w:rPr>
              <w:t>Amount</w:t>
            </w:r>
          </w:p>
          <w:p w:rsidR="00735E2D" w:rsidRDefault="00735E2D" w:rsidP="00735E2D">
            <w:pPr>
              <w:jc w:val="center"/>
              <w:rPr>
                <w:lang w:val="en-GB"/>
              </w:rPr>
            </w:pPr>
            <w:r>
              <w:rPr>
                <w:lang w:val="en-GB"/>
              </w:rPr>
              <w:t>(USD mm)</w:t>
            </w:r>
          </w:p>
        </w:tc>
      </w:tr>
      <w:tr w:rsidR="00735E2D" w:rsidTr="00735E2D">
        <w:trPr>
          <w:trHeight w:val="182"/>
        </w:trPr>
        <w:tc>
          <w:tcPr>
            <w:tcW w:w="3206" w:type="dxa"/>
          </w:tcPr>
          <w:p w:rsidR="00735E2D" w:rsidRDefault="00735E2D" w:rsidP="00735E2D">
            <w:pPr>
              <w:rPr>
                <w:lang w:val="en-GB"/>
              </w:rPr>
            </w:pPr>
            <w:r>
              <w:rPr>
                <w:lang w:val="en-GB"/>
              </w:rPr>
              <w:t>Country equity contributions</w:t>
            </w:r>
          </w:p>
        </w:tc>
        <w:tc>
          <w:tcPr>
            <w:tcW w:w="3206" w:type="dxa"/>
          </w:tcPr>
          <w:p w:rsidR="00735E2D" w:rsidRDefault="00735E2D" w:rsidP="00735E2D">
            <w:pPr>
              <w:jc w:val="center"/>
              <w:rPr>
                <w:lang w:val="en-GB"/>
              </w:rPr>
            </w:pPr>
            <w:r>
              <w:rPr>
                <w:lang w:val="en-GB"/>
              </w:rPr>
              <w:t>15.7</w:t>
            </w:r>
          </w:p>
        </w:tc>
      </w:tr>
      <w:tr w:rsidR="00735E2D" w:rsidTr="00735E2D">
        <w:trPr>
          <w:trHeight w:val="181"/>
        </w:trPr>
        <w:tc>
          <w:tcPr>
            <w:tcW w:w="3206" w:type="dxa"/>
          </w:tcPr>
          <w:p w:rsidR="00735E2D" w:rsidRDefault="00735E2D" w:rsidP="00735E2D">
            <w:pPr>
              <w:rPr>
                <w:lang w:val="en-GB"/>
              </w:rPr>
            </w:pPr>
            <w:r>
              <w:rPr>
                <w:lang w:val="en-GB"/>
              </w:rPr>
              <w:t>Management contract</w:t>
            </w:r>
          </w:p>
        </w:tc>
        <w:tc>
          <w:tcPr>
            <w:tcW w:w="3206" w:type="dxa"/>
          </w:tcPr>
          <w:p w:rsidR="00735E2D" w:rsidRDefault="00735E2D" w:rsidP="00735E2D">
            <w:pPr>
              <w:jc w:val="center"/>
              <w:rPr>
                <w:lang w:val="en-GB"/>
              </w:rPr>
            </w:pPr>
            <w:r>
              <w:rPr>
                <w:lang w:val="en-GB"/>
              </w:rPr>
              <w:t>5.00</w:t>
            </w:r>
          </w:p>
        </w:tc>
      </w:tr>
      <w:tr w:rsidR="00735E2D" w:rsidTr="00735E2D">
        <w:trPr>
          <w:trHeight w:val="181"/>
        </w:trPr>
        <w:tc>
          <w:tcPr>
            <w:tcW w:w="3206" w:type="dxa"/>
          </w:tcPr>
          <w:p w:rsidR="00735E2D" w:rsidRPr="005007E0" w:rsidRDefault="00735E2D" w:rsidP="00735E2D">
            <w:pPr>
              <w:rPr>
                <w:b/>
                <w:lang w:val="en-GB"/>
              </w:rPr>
            </w:pPr>
            <w:r w:rsidRPr="005007E0">
              <w:rPr>
                <w:b/>
                <w:lang w:val="en-GB"/>
              </w:rPr>
              <w:t>Total</w:t>
            </w:r>
          </w:p>
        </w:tc>
        <w:tc>
          <w:tcPr>
            <w:tcW w:w="3206" w:type="dxa"/>
          </w:tcPr>
          <w:p w:rsidR="00735E2D" w:rsidRPr="005007E0" w:rsidRDefault="005007E0" w:rsidP="00735E2D">
            <w:pPr>
              <w:jc w:val="center"/>
              <w:rPr>
                <w:b/>
                <w:lang w:val="en-GB"/>
              </w:rPr>
            </w:pPr>
            <w:r w:rsidRPr="005007E0">
              <w:rPr>
                <w:b/>
                <w:lang w:val="en-GB"/>
              </w:rPr>
              <w:t xml:space="preserve">20.7 </w:t>
            </w:r>
          </w:p>
        </w:tc>
      </w:tr>
    </w:tbl>
    <w:p w:rsidR="00735E2D" w:rsidRDefault="00735E2D" w:rsidP="00004BD9">
      <w:pPr>
        <w:rPr>
          <w:lang w:val="en-GB"/>
        </w:rPr>
      </w:pPr>
    </w:p>
    <w:p w:rsidR="003932BD" w:rsidRDefault="003932BD" w:rsidP="00004BD9">
      <w:pPr>
        <w:rPr>
          <w:lang w:val="en-GB"/>
        </w:rPr>
      </w:pPr>
    </w:p>
    <w:p w:rsidR="003932BD" w:rsidRDefault="003932BD" w:rsidP="00004BD9">
      <w:pPr>
        <w:rPr>
          <w:lang w:val="en-GB"/>
        </w:rPr>
      </w:pPr>
    </w:p>
    <w:p w:rsidR="003932BD" w:rsidRDefault="003932BD" w:rsidP="00004BD9">
      <w:pPr>
        <w:rPr>
          <w:lang w:val="en-GB"/>
        </w:rPr>
      </w:pPr>
    </w:p>
    <w:p w:rsidR="00C151C8" w:rsidRDefault="00C151C8">
      <w:pPr>
        <w:pStyle w:val="Heading1"/>
        <w:keepNext w:val="0"/>
        <w:widowControl w:val="0"/>
        <w:tabs>
          <w:tab w:val="clear" w:pos="851"/>
          <w:tab w:val="left" w:pos="0"/>
          <w:tab w:val="num" w:pos="360"/>
        </w:tabs>
        <w:suppressAutoHyphens w:val="0"/>
        <w:ind w:left="0" w:firstLine="0"/>
        <w:rPr>
          <w:bCs w:val="0"/>
          <w:lang w:val="en-GB"/>
        </w:rPr>
      </w:pPr>
      <w:r>
        <w:rPr>
          <w:bCs w:val="0"/>
          <w:lang w:val="en-GB"/>
        </w:rPr>
        <w:t xml:space="preserve">Organisation of the </w:t>
      </w:r>
      <w:r w:rsidR="009659F6">
        <w:rPr>
          <w:bCs w:val="0"/>
          <w:lang w:val="en-GB"/>
        </w:rPr>
        <w:t>Program</w:t>
      </w:r>
      <w:r>
        <w:rPr>
          <w:bCs w:val="0"/>
          <w:lang w:val="en-GB"/>
        </w:rPr>
        <w:t xml:space="preserve"> </w:t>
      </w:r>
    </w:p>
    <w:p w:rsidR="00C151C8" w:rsidRPr="00AB3040" w:rsidRDefault="00AB3040" w:rsidP="00AB3040">
      <w:pPr>
        <w:pStyle w:val="Heading2"/>
        <w:rPr>
          <w:i/>
          <w:sz w:val="24"/>
          <w:lang w:val="en-GB"/>
        </w:rPr>
      </w:pPr>
      <w:r>
        <w:rPr>
          <w:i/>
          <w:sz w:val="24"/>
          <w:lang w:val="en-GB"/>
        </w:rPr>
        <w:t>Roles and Responsibilities</w:t>
      </w:r>
    </w:p>
    <w:p w:rsidR="00057DB4" w:rsidRDefault="00057DB4" w:rsidP="005D2907">
      <w:pPr>
        <w:rPr>
          <w:lang w:val="en-GB"/>
        </w:rPr>
      </w:pPr>
      <w:r w:rsidRPr="00385CCF">
        <w:rPr>
          <w:i/>
          <w:lang w:val="en-GB"/>
        </w:rPr>
        <w:t>Governments:</w:t>
      </w:r>
      <w:r>
        <w:rPr>
          <w:lang w:val="en-GB"/>
        </w:rPr>
        <w:t xml:space="preserve"> </w:t>
      </w:r>
      <w:r w:rsidR="00C95CBC">
        <w:rPr>
          <w:lang w:val="en-GB"/>
        </w:rPr>
        <w:t xml:space="preserve">The member states play a fundamental part in ensuring SECE CRIF’s success by participating in the financing of the Facility as well as its governance (through the shareholders meetings and in the policy advisory board), and by providing all necessary logistical and technical support to the various consultants entrusted with the country risk assessments so as to ensure expeditious and effective completion of these studies. </w:t>
      </w:r>
      <w:r w:rsidR="000D2BEC">
        <w:rPr>
          <w:lang w:val="en-GB"/>
        </w:rPr>
        <w:t>Even more important, however, is their policy support which may vary from country to country and include, but is not limited to:</w:t>
      </w:r>
    </w:p>
    <w:p w:rsidR="00057DB4" w:rsidRDefault="00057DB4" w:rsidP="00D01107">
      <w:pPr>
        <w:numPr>
          <w:ilvl w:val="0"/>
          <w:numId w:val="17"/>
        </w:numPr>
        <w:rPr>
          <w:lang w:val="en-GB"/>
        </w:rPr>
      </w:pPr>
      <w:r>
        <w:rPr>
          <w:lang w:val="en-GB"/>
        </w:rPr>
        <w:t xml:space="preserve">Create the enabling regulatory and legal framework for the operations of </w:t>
      </w:r>
      <w:r w:rsidR="005D2907">
        <w:rPr>
          <w:lang w:val="en-GB"/>
        </w:rPr>
        <w:t>SECE C</w:t>
      </w:r>
      <w:r w:rsidR="000D2BEC">
        <w:rPr>
          <w:lang w:val="en-GB"/>
        </w:rPr>
        <w:t>RIF</w:t>
      </w:r>
      <w:r>
        <w:rPr>
          <w:lang w:val="en-GB"/>
        </w:rPr>
        <w:t>;</w:t>
      </w:r>
    </w:p>
    <w:p w:rsidR="00057DB4" w:rsidRDefault="00057DB4" w:rsidP="00D01107">
      <w:pPr>
        <w:numPr>
          <w:ilvl w:val="0"/>
          <w:numId w:val="17"/>
        </w:numPr>
        <w:rPr>
          <w:lang w:val="en-GB"/>
        </w:rPr>
      </w:pPr>
      <w:r>
        <w:rPr>
          <w:lang w:val="en-GB"/>
        </w:rPr>
        <w:t xml:space="preserve">Carry out extensive public information </w:t>
      </w:r>
      <w:r w:rsidR="00326B23">
        <w:rPr>
          <w:lang w:val="en-GB"/>
        </w:rPr>
        <w:t>and awareness campaigns about the availability and benefits of catastrophe insurance products;</w:t>
      </w:r>
    </w:p>
    <w:p w:rsidR="00326B23" w:rsidRDefault="005D2907" w:rsidP="00D01107">
      <w:pPr>
        <w:numPr>
          <w:ilvl w:val="0"/>
          <w:numId w:val="17"/>
        </w:numPr>
        <w:rPr>
          <w:lang w:val="en-GB"/>
        </w:rPr>
      </w:pPr>
      <w:r>
        <w:rPr>
          <w:lang w:val="en-GB"/>
        </w:rPr>
        <w:t>implement</w:t>
      </w:r>
      <w:r w:rsidR="00326B23">
        <w:rPr>
          <w:lang w:val="en-GB"/>
        </w:rPr>
        <w:t xml:space="preserve"> policies that will encourage</w:t>
      </w:r>
      <w:r w:rsidR="009659F6">
        <w:rPr>
          <w:lang w:val="en-GB"/>
        </w:rPr>
        <w:t xml:space="preserve"> sound disaster risk managements practices by homeowners and companies, including linking mortgages in disaster prone areas to cat insurance and limiting post-disaster aid to a defined amount or a fraction of the insured limit</w:t>
      </w:r>
      <w:r w:rsidR="000D2BEC">
        <w:rPr>
          <w:lang w:val="en-GB"/>
        </w:rPr>
        <w:t>;</w:t>
      </w:r>
    </w:p>
    <w:p w:rsidR="009659F6" w:rsidRDefault="000D2BEC" w:rsidP="00D01107">
      <w:pPr>
        <w:numPr>
          <w:ilvl w:val="0"/>
          <w:numId w:val="17"/>
        </w:numPr>
        <w:rPr>
          <w:lang w:val="en-GB"/>
        </w:rPr>
      </w:pPr>
      <w:r>
        <w:rPr>
          <w:lang w:val="en-GB"/>
        </w:rPr>
        <w:t>Insure with SECE CRIF all government owned housing stock against the risk of natural disasters;</w:t>
      </w:r>
    </w:p>
    <w:p w:rsidR="009659F6" w:rsidRDefault="009659F6" w:rsidP="005D2907">
      <w:pPr>
        <w:rPr>
          <w:lang w:val="en-GB"/>
        </w:rPr>
      </w:pPr>
      <w:r w:rsidRPr="00385CCF">
        <w:rPr>
          <w:i/>
          <w:lang w:val="en-GB"/>
        </w:rPr>
        <w:t xml:space="preserve">Management </w:t>
      </w:r>
      <w:proofErr w:type="gramStart"/>
      <w:r w:rsidRPr="00385CCF">
        <w:rPr>
          <w:i/>
          <w:lang w:val="en-GB"/>
        </w:rPr>
        <w:t>company</w:t>
      </w:r>
      <w:proofErr w:type="gramEnd"/>
      <w:r w:rsidRPr="00385CCF">
        <w:rPr>
          <w:i/>
          <w:lang w:val="en-GB"/>
        </w:rPr>
        <w:t>:</w:t>
      </w:r>
      <w:r>
        <w:rPr>
          <w:lang w:val="en-GB"/>
        </w:rPr>
        <w:t xml:space="preserve"> </w:t>
      </w:r>
      <w:r w:rsidR="001705EE">
        <w:rPr>
          <w:lang w:val="en-GB"/>
        </w:rPr>
        <w:t xml:space="preserve">SECE </w:t>
      </w:r>
      <w:r>
        <w:rPr>
          <w:lang w:val="en-GB"/>
        </w:rPr>
        <w:t xml:space="preserve">CRIF will be managed by an independent insurance services company with dedicated </w:t>
      </w:r>
      <w:r w:rsidR="000D2BEC">
        <w:rPr>
          <w:lang w:val="en-GB"/>
        </w:rPr>
        <w:t xml:space="preserve">and highly experienced </w:t>
      </w:r>
      <w:r>
        <w:rPr>
          <w:lang w:val="en-GB"/>
        </w:rPr>
        <w:t>full time staff. The company will be selected through a global tender according to established World Bank rules and procedures on the b</w:t>
      </w:r>
      <w:r w:rsidR="0040719A">
        <w:rPr>
          <w:lang w:val="en-GB"/>
        </w:rPr>
        <w:t>asis of: technical qualifications of the proposed m</w:t>
      </w:r>
      <w:r w:rsidR="000D2BEC">
        <w:rPr>
          <w:lang w:val="en-GB"/>
        </w:rPr>
        <w:t>anagement team, IT capabilities and</w:t>
      </w:r>
      <w:r w:rsidR="0040719A">
        <w:rPr>
          <w:lang w:val="en-GB"/>
        </w:rPr>
        <w:t xml:space="preserve"> cost. To ensure the quality of </w:t>
      </w:r>
      <w:r w:rsidR="000D2BEC">
        <w:rPr>
          <w:lang w:val="en-GB"/>
        </w:rPr>
        <w:t>SEC</w:t>
      </w:r>
      <w:r w:rsidR="005D2907">
        <w:rPr>
          <w:lang w:val="en-GB"/>
        </w:rPr>
        <w:t>E</w:t>
      </w:r>
      <w:r w:rsidR="000D2BEC">
        <w:rPr>
          <w:lang w:val="en-GB"/>
        </w:rPr>
        <w:t xml:space="preserve"> </w:t>
      </w:r>
      <w:r w:rsidR="0040719A">
        <w:rPr>
          <w:lang w:val="en-GB"/>
        </w:rPr>
        <w:t>CRIF</w:t>
      </w:r>
      <w:r w:rsidR="000D2BEC">
        <w:rPr>
          <w:lang w:val="en-GB"/>
        </w:rPr>
        <w:t>’s</w:t>
      </w:r>
      <w:r w:rsidR="0040719A">
        <w:rPr>
          <w:lang w:val="en-GB"/>
        </w:rPr>
        <w:t xml:space="preserve"> operations, compensation of the company will be linked to the</w:t>
      </w:r>
      <w:r w:rsidR="000D2BEC">
        <w:rPr>
          <w:lang w:val="en-GB"/>
        </w:rPr>
        <w:t xml:space="preserve"> operational performance of the Facility</w:t>
      </w:r>
      <w:r w:rsidR="0040719A">
        <w:rPr>
          <w:lang w:val="en-GB"/>
        </w:rPr>
        <w:t xml:space="preserve">. The company is </w:t>
      </w:r>
      <w:r w:rsidR="000D2BEC">
        <w:rPr>
          <w:lang w:val="en-GB"/>
        </w:rPr>
        <w:t xml:space="preserve">also </w:t>
      </w:r>
      <w:r w:rsidR="0040719A">
        <w:rPr>
          <w:lang w:val="en-GB"/>
        </w:rPr>
        <w:t xml:space="preserve">expected to adopt the state of the art risk management systems. In fact, besides minimum capital requirements obligated by Solvency I, as of 2011 the company will have to comply with risk-based solvency requirements </w:t>
      </w:r>
      <w:r w:rsidR="00BC07D5">
        <w:rPr>
          <w:lang w:val="en-GB"/>
        </w:rPr>
        <w:t>prescribed by the Swiss Solvency Test.</w:t>
      </w:r>
    </w:p>
    <w:p w:rsidR="003D5DBD" w:rsidRDefault="005A561B" w:rsidP="005D2907">
      <w:pPr>
        <w:rPr>
          <w:lang w:val="en-GB"/>
        </w:rPr>
      </w:pPr>
      <w:r>
        <w:rPr>
          <w:i/>
          <w:lang w:val="en-GB"/>
        </w:rPr>
        <w:t>Local</w:t>
      </w:r>
      <w:r w:rsidR="003D5DBD" w:rsidRPr="00385CCF">
        <w:rPr>
          <w:i/>
          <w:lang w:val="en-GB"/>
        </w:rPr>
        <w:t xml:space="preserve"> insurers</w:t>
      </w:r>
      <w:r w:rsidR="000D2BEC" w:rsidRPr="00385CCF">
        <w:rPr>
          <w:i/>
          <w:lang w:val="en-GB"/>
        </w:rPr>
        <w:t>:</w:t>
      </w:r>
      <w:r w:rsidR="000D2BEC">
        <w:rPr>
          <w:lang w:val="en-GB"/>
        </w:rPr>
        <w:t xml:space="preserve"> </w:t>
      </w:r>
      <w:r w:rsidR="00385CCF">
        <w:rPr>
          <w:lang w:val="en-GB"/>
        </w:rPr>
        <w:t>Locally licensed private insurance companies will issue catastrophe insurance policies to homeowners and SMEs in participating countries and will settle claims. To transfer the catastrophe insurance risk assumed in the process of selling these products, primary insurers will then enter in</w:t>
      </w:r>
      <w:r>
        <w:rPr>
          <w:lang w:val="en-GB"/>
        </w:rPr>
        <w:t>to a reinsurance contract with SECE</w:t>
      </w:r>
      <w:r w:rsidR="00385CCF">
        <w:rPr>
          <w:lang w:val="en-GB"/>
        </w:rPr>
        <w:t xml:space="preserve"> CRIF, which will cover a major part of the risk under these insurance policies. Reinsurance coverage will be provided automatically for all insurance policies issued by insurers in accordance with the recommended risk underwriting and pricing guidelines of the Facility. Insurers will also be relied upon to settle claims arising from catastrophic events. Training will be giv</w:t>
      </w:r>
      <w:r w:rsidR="00783738">
        <w:rPr>
          <w:lang w:val="en-GB"/>
        </w:rPr>
        <w:t>en</w:t>
      </w:r>
      <w:r w:rsidR="00385CCF">
        <w:rPr>
          <w:lang w:val="en-GB"/>
        </w:rPr>
        <w:t xml:space="preserve"> to </w:t>
      </w:r>
      <w:r>
        <w:rPr>
          <w:lang w:val="en-GB"/>
        </w:rPr>
        <w:t xml:space="preserve">insurers’ loss adjusters by SECE </w:t>
      </w:r>
      <w:r w:rsidR="00385CCF">
        <w:rPr>
          <w:lang w:val="en-GB"/>
        </w:rPr>
        <w:t>CRIF to ensure consistency in cl</w:t>
      </w:r>
      <w:r w:rsidR="00364740">
        <w:rPr>
          <w:lang w:val="en-GB"/>
        </w:rPr>
        <w:t>aims handling across the region</w:t>
      </w:r>
      <w:r w:rsidR="00E9143F">
        <w:rPr>
          <w:lang w:val="en-GB"/>
        </w:rPr>
        <w:t>.</w:t>
      </w:r>
      <w:r w:rsidR="00364740">
        <w:rPr>
          <w:lang w:val="en-GB"/>
        </w:rPr>
        <w:t xml:space="preserve"> </w:t>
      </w:r>
      <w:r w:rsidR="00385CCF">
        <w:rPr>
          <w:lang w:val="en-GB"/>
        </w:rPr>
        <w:t>Primary insurers will be compensated by receiving insurance commissions for their distribution and claims settlement fees.</w:t>
      </w:r>
      <w:r w:rsidR="00783738">
        <w:rPr>
          <w:lang w:val="en-GB"/>
        </w:rPr>
        <w:t xml:space="preserve"> In addition, those insurers who will choose to retain a part of risk under the catastrophe risk p</w:t>
      </w:r>
      <w:r w:rsidR="00E9143F">
        <w:rPr>
          <w:lang w:val="en-GB"/>
        </w:rPr>
        <w:t>olicies reinsured with SEC</w:t>
      </w:r>
      <w:r w:rsidR="005007E0">
        <w:rPr>
          <w:lang w:val="en-GB"/>
        </w:rPr>
        <w:t>E</w:t>
      </w:r>
      <w:r w:rsidR="00E9143F">
        <w:rPr>
          <w:lang w:val="en-GB"/>
        </w:rPr>
        <w:t xml:space="preserve"> </w:t>
      </w:r>
      <w:proofErr w:type="gramStart"/>
      <w:r w:rsidR="00E9143F">
        <w:rPr>
          <w:lang w:val="en-GB"/>
        </w:rPr>
        <w:t>CRIF</w:t>
      </w:r>
      <w:r w:rsidR="00783738">
        <w:rPr>
          <w:lang w:val="en-GB"/>
        </w:rPr>
        <w:t>,</w:t>
      </w:r>
      <w:proofErr w:type="gramEnd"/>
      <w:r w:rsidR="00783738">
        <w:rPr>
          <w:lang w:val="en-GB"/>
        </w:rPr>
        <w:t xml:space="preserve"> will also receive a part of risk premium.</w:t>
      </w:r>
    </w:p>
    <w:p w:rsidR="00BC31DA" w:rsidRDefault="00BC31DA" w:rsidP="00751567">
      <w:pPr>
        <w:pStyle w:val="Heading1"/>
        <w:tabs>
          <w:tab w:val="clear" w:pos="851"/>
          <w:tab w:val="left" w:pos="426"/>
        </w:tabs>
        <w:ind w:left="426" w:hanging="426"/>
        <w:rPr>
          <w:lang w:val="en-GB"/>
        </w:rPr>
      </w:pPr>
      <w:r>
        <w:rPr>
          <w:lang w:val="en-GB"/>
        </w:rPr>
        <w:lastRenderedPageBreak/>
        <w:t xml:space="preserve">Expected results </w:t>
      </w:r>
    </w:p>
    <w:p w:rsidR="00B443B6" w:rsidRPr="002148C4" w:rsidRDefault="00F31C7C" w:rsidP="00B443B6">
      <w:pPr>
        <w:pStyle w:val="TableofFigures"/>
        <w:tabs>
          <w:tab w:val="clear" w:pos="9344"/>
        </w:tabs>
        <w:rPr>
          <w:bCs/>
          <w:lang w:val="en-GB"/>
        </w:rPr>
      </w:pPr>
      <w:r>
        <w:rPr>
          <w:lang w:val="en-GB"/>
        </w:rPr>
        <w:t>T</w:t>
      </w:r>
      <w:r w:rsidR="009C0F44">
        <w:rPr>
          <w:lang w:val="en-GB"/>
        </w:rPr>
        <w:t>he most important benefit</w:t>
      </w:r>
      <w:r w:rsidR="00B443B6">
        <w:rPr>
          <w:lang w:val="en-GB"/>
        </w:rPr>
        <w:t xml:space="preserve"> of SECE CRIF at </w:t>
      </w:r>
      <w:r w:rsidR="00B443B6" w:rsidRPr="00B443B6">
        <w:rPr>
          <w:b/>
          <w:lang w:val="en-GB"/>
        </w:rPr>
        <w:t>outcome level</w:t>
      </w:r>
      <w:r w:rsidR="00B443B6">
        <w:rPr>
          <w:lang w:val="en-GB"/>
        </w:rPr>
        <w:t xml:space="preserve"> </w:t>
      </w:r>
      <w:r w:rsidR="009C0F44">
        <w:rPr>
          <w:lang w:val="en-GB"/>
        </w:rPr>
        <w:t>is the provision of affordable access to cat insurance. In line with the achievements of the Turkish program, t</w:t>
      </w:r>
      <w:r>
        <w:rPr>
          <w:lang w:val="en-GB"/>
        </w:rPr>
        <w:t>he aim here is to</w:t>
      </w:r>
      <w:r w:rsidR="00B443B6">
        <w:rPr>
          <w:lang w:val="en-GB"/>
        </w:rPr>
        <w:t xml:space="preserve"> </w:t>
      </w:r>
      <w:r w:rsidR="009C0F44">
        <w:rPr>
          <w:bCs/>
          <w:lang w:val="en-GB"/>
        </w:rPr>
        <w:t>raise</w:t>
      </w:r>
      <w:r w:rsidR="00B443B6">
        <w:rPr>
          <w:bCs/>
          <w:lang w:val="en-GB"/>
        </w:rPr>
        <w:t xml:space="preserve"> cat insurance penetration among homeowners from the current 2-5% to 20-25% of insurable homes over the next 8 years without making the insurance compulsory.</w:t>
      </w:r>
      <w:r w:rsidR="009C0F44" w:rsidRPr="009C0F44">
        <w:rPr>
          <w:lang w:val="en-GB"/>
        </w:rPr>
        <w:t xml:space="preserve"> </w:t>
      </w:r>
    </w:p>
    <w:p w:rsidR="00004BD9" w:rsidRDefault="00B443B6" w:rsidP="00BC07D5">
      <w:pPr>
        <w:rPr>
          <w:lang w:val="en-GB"/>
        </w:rPr>
      </w:pPr>
      <w:r>
        <w:rPr>
          <w:lang w:val="en-GB"/>
        </w:rPr>
        <w:t>The</w:t>
      </w:r>
      <w:r w:rsidR="002148C4">
        <w:rPr>
          <w:lang w:val="en-GB"/>
        </w:rPr>
        <w:t xml:space="preserve"> </w:t>
      </w:r>
      <w:r w:rsidR="002148C4" w:rsidRPr="00B443B6">
        <w:rPr>
          <w:b/>
          <w:lang w:val="en-GB"/>
        </w:rPr>
        <w:t>impact</w:t>
      </w:r>
      <w:r w:rsidR="002148C4">
        <w:rPr>
          <w:lang w:val="en-GB"/>
        </w:rPr>
        <w:t xml:space="preserve"> </w:t>
      </w:r>
      <w:r w:rsidR="00F31C7C">
        <w:rPr>
          <w:lang w:val="en-GB"/>
        </w:rPr>
        <w:t>of SECE CRIF should be felt at three levels</w:t>
      </w:r>
      <w:r w:rsidR="002148C4">
        <w:rPr>
          <w:lang w:val="en-GB"/>
        </w:rPr>
        <w:t>:</w:t>
      </w:r>
      <w:r w:rsidR="00004BD9">
        <w:rPr>
          <w:lang w:val="en-GB"/>
        </w:rPr>
        <w:t xml:space="preserve"> </w:t>
      </w:r>
    </w:p>
    <w:p w:rsidR="00B443B6" w:rsidRDefault="00F31C7C" w:rsidP="00F31C7C">
      <w:pPr>
        <w:numPr>
          <w:ilvl w:val="0"/>
          <w:numId w:val="28"/>
        </w:numPr>
        <w:rPr>
          <w:lang w:val="en-GB"/>
        </w:rPr>
      </w:pPr>
      <w:r>
        <w:rPr>
          <w:lang w:val="en-GB"/>
        </w:rPr>
        <w:t>In the case of households, access to affordable disaster insurance will serve as an important financial safety net that will help millions of homeowners to protect their lifetime savings embedded in their house equity, and hence avoid financial ruin. For businesses, access to disaster insurance will reduce the adverse impacts of natural hazards on their earnings, and thus reduce the cost of borrowing</w:t>
      </w:r>
      <w:r w:rsidR="00DE03C0">
        <w:rPr>
          <w:lang w:val="en-GB"/>
        </w:rPr>
        <w:t>,</w:t>
      </w:r>
      <w:r>
        <w:rPr>
          <w:lang w:val="en-GB"/>
        </w:rPr>
        <w:t xml:space="preserve"> and result in improved business valuations.</w:t>
      </w:r>
    </w:p>
    <w:p w:rsidR="00F31C7C" w:rsidRDefault="00DE03C0" w:rsidP="00F31C7C">
      <w:pPr>
        <w:numPr>
          <w:ilvl w:val="0"/>
          <w:numId w:val="28"/>
        </w:numPr>
        <w:rPr>
          <w:lang w:val="en-GB"/>
        </w:rPr>
      </w:pPr>
      <w:r>
        <w:rPr>
          <w:lang w:val="en-GB"/>
        </w:rPr>
        <w:t>At industry level, SECE CRIF contributes to financial sector deepening in the SECE region by providing a strong boost to the national insurance industries (new clients, additional premium income) and the development of national cat insurance markets more specifically.</w:t>
      </w:r>
    </w:p>
    <w:p w:rsidR="00057DB4" w:rsidRDefault="00DE03C0" w:rsidP="00F31C7C">
      <w:pPr>
        <w:numPr>
          <w:ilvl w:val="0"/>
          <w:numId w:val="28"/>
        </w:numPr>
        <w:rPr>
          <w:lang w:val="en-GB"/>
        </w:rPr>
      </w:pPr>
      <w:r>
        <w:rPr>
          <w:lang w:val="en-GB"/>
        </w:rPr>
        <w:t>In the case of governments</w:t>
      </w:r>
      <w:r w:rsidR="00F31C7C">
        <w:rPr>
          <w:lang w:val="en-GB"/>
        </w:rPr>
        <w:t xml:space="preserve">, </w:t>
      </w:r>
      <w:r>
        <w:rPr>
          <w:lang w:val="en-GB"/>
        </w:rPr>
        <w:t>i</w:t>
      </w:r>
      <w:r w:rsidR="00004BD9">
        <w:rPr>
          <w:lang w:val="en-GB"/>
        </w:rPr>
        <w:t xml:space="preserve">nvesting in the development of a market-based disaster </w:t>
      </w:r>
      <w:r>
        <w:rPr>
          <w:lang w:val="en-GB"/>
        </w:rPr>
        <w:t>risk protection system such as SE</w:t>
      </w:r>
      <w:r w:rsidR="00AA7059">
        <w:rPr>
          <w:lang w:val="en-GB"/>
        </w:rPr>
        <w:t>CE</w:t>
      </w:r>
      <w:r w:rsidR="00004BD9">
        <w:rPr>
          <w:lang w:val="en-GB"/>
        </w:rPr>
        <w:t xml:space="preserve"> CRIF will bring numerou</w:t>
      </w:r>
      <w:r>
        <w:rPr>
          <w:lang w:val="en-GB"/>
        </w:rPr>
        <w:t>s economic and fiscal benefits:</w:t>
      </w:r>
      <w:r w:rsidR="00004BD9">
        <w:rPr>
          <w:lang w:val="en-GB"/>
        </w:rPr>
        <w:t xml:space="preserve"> it will help reduce their contingent fiscal liabilities arising out of their unlimited exposure to natural hazards, and will help to mitigate the adverse impacts of natural hazards on fiscal stability and economic growth. </w:t>
      </w:r>
    </w:p>
    <w:sectPr w:rsidR="00057DB4" w:rsidSect="00F856BB">
      <w:headerReference w:type="first" r:id="rId9"/>
      <w:pgSz w:w="12240" w:h="15840" w:code="1"/>
      <w:pgMar w:top="1138" w:right="1138" w:bottom="1080" w:left="1699" w:header="677" w:footer="17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E2D" w:rsidRDefault="00735E2D">
      <w:r>
        <w:separator/>
      </w:r>
    </w:p>
  </w:endnote>
  <w:endnote w:type="continuationSeparator" w:id="1">
    <w:p w:rsidR="00735E2D" w:rsidRDefault="00735E2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E2D" w:rsidRDefault="00735E2D">
      <w:r>
        <w:separator/>
      </w:r>
    </w:p>
  </w:footnote>
  <w:footnote w:type="continuationSeparator" w:id="1">
    <w:p w:rsidR="00735E2D" w:rsidRDefault="00735E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10" w:type="dxa"/>
      <w:tblLook w:val="01E0"/>
    </w:tblPr>
    <w:tblGrid>
      <w:gridCol w:w="4763"/>
      <w:gridCol w:w="4605"/>
    </w:tblGrid>
    <w:tr w:rsidR="00735E2D">
      <w:trPr>
        <w:cantSplit/>
        <w:trHeight w:val="1843"/>
      </w:trPr>
      <w:tc>
        <w:tcPr>
          <w:tcW w:w="4763" w:type="dxa"/>
        </w:tcPr>
        <w:p w:rsidR="00735E2D" w:rsidRDefault="00735E2D">
          <w:pPr>
            <w:pStyle w:val="Header"/>
          </w:pPr>
          <w:r>
            <w:rPr>
              <w:lang w:val="en-US" w:eastAsia="en-US"/>
            </w:rPr>
            <w:drawing>
              <wp:anchor distT="0" distB="0" distL="114300" distR="114300" simplePos="0" relativeHeight="251659776" behindDoc="0" locked="0" layoutInCell="1" allowOverlap="0">
                <wp:simplePos x="0" y="0"/>
                <wp:positionH relativeFrom="page">
                  <wp:posOffset>687705</wp:posOffset>
                </wp:positionH>
                <wp:positionV relativeFrom="page">
                  <wp:posOffset>423545</wp:posOffset>
                </wp:positionV>
                <wp:extent cx="1981200" cy="647700"/>
                <wp:effectExtent l="19050" t="0" r="0" b="0"/>
                <wp:wrapNone/>
                <wp:docPr id="6" name="LogoCOL" descr="Logo_co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 descr="Logo_col" hidden="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981200" cy="647700"/>
                        </a:xfrm>
                        <a:prstGeom prst="rect">
                          <a:avLst/>
                        </a:prstGeom>
                        <a:noFill/>
                        <a:ln w="9525">
                          <a:noFill/>
                          <a:miter lim="800000"/>
                          <a:headEnd/>
                          <a:tailEnd/>
                        </a:ln>
                      </pic:spPr>
                    </pic:pic>
                  </a:graphicData>
                </a:graphic>
              </wp:anchor>
            </w:drawing>
          </w:r>
        </w:p>
      </w:tc>
      <w:tc>
        <w:tcPr>
          <w:tcW w:w="4605" w:type="dxa"/>
        </w:tcPr>
        <w:p w:rsidR="00735E2D" w:rsidRDefault="00735E2D" w:rsidP="00DD6F85">
          <w:pPr>
            <w:pStyle w:val="zzKopfOE"/>
            <w:rPr>
              <w:lang w:val="de-DE"/>
            </w:rPr>
          </w:pPr>
        </w:p>
      </w:tc>
    </w:tr>
  </w:tbl>
  <w:p w:rsidR="00735E2D" w:rsidRDefault="00735E2D">
    <w:pPr>
      <w:pStyle w:val="Header"/>
      <w:rPr>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A653A"/>
    <w:multiLevelType w:val="hybridMultilevel"/>
    <w:tmpl w:val="63204BE2"/>
    <w:lvl w:ilvl="0" w:tplc="8EEC8D5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15E80876"/>
    <w:multiLevelType w:val="hybridMultilevel"/>
    <w:tmpl w:val="42422C5C"/>
    <w:lvl w:ilvl="0" w:tplc="81BED3DC">
      <w:start w:val="11"/>
      <w:numFmt w:val="bullet"/>
      <w:lvlText w:val=""/>
      <w:lvlJc w:val="left"/>
      <w:pPr>
        <w:ind w:left="360" w:hanging="360"/>
      </w:pPr>
      <w:rPr>
        <w:rFonts w:ascii="Wingdings" w:eastAsia="Times New Roman" w:hAnsi="Wingdings"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66D00A3"/>
    <w:multiLevelType w:val="hybridMultilevel"/>
    <w:tmpl w:val="5A0837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179972BC"/>
    <w:multiLevelType w:val="hybridMultilevel"/>
    <w:tmpl w:val="B7A83E4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nsid w:val="1CA52013"/>
    <w:multiLevelType w:val="hybridMultilevel"/>
    <w:tmpl w:val="5034512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nsid w:val="1EE604E1"/>
    <w:multiLevelType w:val="hybridMultilevel"/>
    <w:tmpl w:val="C2E8D63A"/>
    <w:lvl w:ilvl="0" w:tplc="0AE2BD54">
      <w:start w:val="1"/>
      <w:numFmt w:val="bullet"/>
      <w:lvlText w:val=""/>
      <w:lvlJc w:val="left"/>
      <w:pPr>
        <w:tabs>
          <w:tab w:val="num" w:pos="284"/>
        </w:tabs>
        <w:ind w:left="284" w:hanging="284"/>
      </w:pPr>
      <w:rPr>
        <w:rFonts w:ascii="Symbol" w:hAnsi="Symbol" w:hint="default"/>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1FE3708F"/>
    <w:multiLevelType w:val="hybridMultilevel"/>
    <w:tmpl w:val="763A2F96"/>
    <w:lvl w:ilvl="0" w:tplc="CA1070E0">
      <w:start w:val="1"/>
      <w:numFmt w:val="lowerLetter"/>
      <w:pStyle w:val="Listea"/>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23635645"/>
    <w:multiLevelType w:val="hybridMultilevel"/>
    <w:tmpl w:val="904637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nsid w:val="2D1D6847"/>
    <w:multiLevelType w:val="hybridMultilevel"/>
    <w:tmpl w:val="702CC650"/>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0">
    <w:nsid w:val="2E703335"/>
    <w:multiLevelType w:val="hybridMultilevel"/>
    <w:tmpl w:val="49AA6CD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nsid w:val="34846D13"/>
    <w:multiLevelType w:val="hybridMultilevel"/>
    <w:tmpl w:val="7A1E68AA"/>
    <w:lvl w:ilvl="0" w:tplc="B066C178">
      <w:start w:val="1"/>
      <w:numFmt w:val="decimal"/>
      <w:lvlText w:val="%1."/>
      <w:lvlJc w:val="left"/>
      <w:pPr>
        <w:tabs>
          <w:tab w:val="num" w:pos="360"/>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217CBD"/>
    <w:multiLevelType w:val="hybridMultilevel"/>
    <w:tmpl w:val="5938214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nsid w:val="39274E1A"/>
    <w:multiLevelType w:val="multilevel"/>
    <w:tmpl w:val="AE244F40"/>
    <w:lvl w:ilvl="0">
      <w:start w:val="1"/>
      <w:numFmt w:val="decimal"/>
      <w:pStyle w:val="Heading1"/>
      <w:lvlText w:val="%1"/>
      <w:lvlJc w:val="left"/>
      <w:pPr>
        <w:tabs>
          <w:tab w:val="num" w:pos="2629"/>
        </w:tabs>
        <w:ind w:left="2269" w:firstLine="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44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C763FC4"/>
    <w:multiLevelType w:val="hybridMultilevel"/>
    <w:tmpl w:val="17EE527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nsid w:val="3F346A7E"/>
    <w:multiLevelType w:val="hybridMultilevel"/>
    <w:tmpl w:val="915C1348"/>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nsid w:val="443D10AC"/>
    <w:multiLevelType w:val="hybridMultilevel"/>
    <w:tmpl w:val="971475D8"/>
    <w:lvl w:ilvl="0" w:tplc="08070011">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nsid w:val="4FF06E31"/>
    <w:multiLevelType w:val="hybridMultilevel"/>
    <w:tmpl w:val="53E83E5E"/>
    <w:lvl w:ilvl="0" w:tplc="0407000F">
      <w:start w:val="1"/>
      <w:numFmt w:val="decimal"/>
      <w:lvlText w:val="%1."/>
      <w:lvlJc w:val="left"/>
      <w:pPr>
        <w:tabs>
          <w:tab w:val="num" w:pos="360"/>
        </w:tabs>
        <w:ind w:left="360" w:hanging="360"/>
      </w:pPr>
    </w:lvl>
    <w:lvl w:ilvl="1" w:tplc="C2C24296">
      <w:start w:val="1"/>
      <w:numFmt w:val="bullet"/>
      <w:lvlText w:val="-"/>
      <w:lvlJc w:val="left"/>
      <w:pPr>
        <w:tabs>
          <w:tab w:val="num" w:pos="170"/>
        </w:tabs>
        <w:ind w:left="170" w:hanging="170"/>
      </w:pPr>
      <w:rPr>
        <w:rFonts w:hint="default"/>
        <w:sz w:val="16"/>
      </w:rPr>
    </w:lvl>
    <w:lvl w:ilvl="2" w:tplc="0407000F">
      <w:start w:val="1"/>
      <w:numFmt w:val="decimal"/>
      <w:lvlText w:val="%3."/>
      <w:lvlJc w:val="left"/>
      <w:pPr>
        <w:tabs>
          <w:tab w:val="num" w:pos="1980"/>
        </w:tabs>
        <w:ind w:left="1980" w:hanging="36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9">
    <w:nsid w:val="55031A80"/>
    <w:multiLevelType w:val="hybridMultilevel"/>
    <w:tmpl w:val="6598EC7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nsid w:val="57F40645"/>
    <w:multiLevelType w:val="hybridMultilevel"/>
    <w:tmpl w:val="7056315E"/>
    <w:lvl w:ilvl="0" w:tplc="B0809C40">
      <w:start w:val="1"/>
      <w:numFmt w:val="decimal"/>
      <w:pStyle w:val="List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6D1ADE"/>
    <w:multiLevelType w:val="hybridMultilevel"/>
    <w:tmpl w:val="E438EFC2"/>
    <w:lvl w:ilvl="0" w:tplc="08070011">
      <w:start w:val="1"/>
      <w:numFmt w:val="decimal"/>
      <w:lvlText w:val="%1)"/>
      <w:lvlJc w:val="left"/>
      <w:pPr>
        <w:ind w:left="360" w:hanging="360"/>
      </w:pPr>
      <w:rPr>
        <w:rFonts w:hint="default"/>
      </w:rPr>
    </w:lvl>
    <w:lvl w:ilvl="1" w:tplc="6D68A034">
      <w:start w:val="1"/>
      <w:numFmt w:val="decimal"/>
      <w:lvlText w:val="%2)"/>
      <w:lvlJc w:val="left"/>
      <w:pPr>
        <w:ind w:left="1080" w:hanging="360"/>
      </w:pPr>
      <w:rPr>
        <w:rFonts w:ascii="Arial" w:eastAsia="Times New Roman" w:hAnsi="Arial" w:cs="Times New Roman"/>
      </w:rPr>
    </w:lvl>
    <w:lvl w:ilvl="2" w:tplc="0807001B">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23">
    <w:nsid w:val="6283137D"/>
    <w:multiLevelType w:val="hybridMultilevel"/>
    <w:tmpl w:val="098A4240"/>
    <w:lvl w:ilvl="0" w:tplc="C16AAA6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nsid w:val="65F23124"/>
    <w:multiLevelType w:val="hybridMultilevel"/>
    <w:tmpl w:val="DAB8671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nsid w:val="6CA83780"/>
    <w:multiLevelType w:val="hybridMultilevel"/>
    <w:tmpl w:val="BB229A60"/>
    <w:lvl w:ilvl="0" w:tplc="08070001">
      <w:start w:val="1"/>
      <w:numFmt w:val="bullet"/>
      <w:lvlText w:val=""/>
      <w:lvlJc w:val="left"/>
      <w:pPr>
        <w:ind w:left="360" w:hanging="360"/>
      </w:pPr>
      <w:rPr>
        <w:rFonts w:ascii="Symbol" w:hAnsi="Symbol" w:hint="default"/>
      </w:rPr>
    </w:lvl>
    <w:lvl w:ilvl="1" w:tplc="08070001">
      <w:start w:val="1"/>
      <w:numFmt w:val="bullet"/>
      <w:lvlText w:val=""/>
      <w:lvlJc w:val="left"/>
      <w:pPr>
        <w:ind w:left="1080" w:hanging="360"/>
      </w:pPr>
      <w:rPr>
        <w:rFonts w:ascii="Symbol" w:hAnsi="Symbol" w:hint="default"/>
      </w:rPr>
    </w:lvl>
    <w:lvl w:ilvl="2" w:tplc="0807001B">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6">
    <w:nsid w:val="7239480A"/>
    <w:multiLevelType w:val="hybridMultilevel"/>
    <w:tmpl w:val="4C303F06"/>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nsid w:val="72A74211"/>
    <w:multiLevelType w:val="hybridMultilevel"/>
    <w:tmpl w:val="E0D298D0"/>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nsid w:val="74A8339A"/>
    <w:multiLevelType w:val="hybridMultilevel"/>
    <w:tmpl w:val="ADCE31C8"/>
    <w:lvl w:ilvl="0" w:tplc="0407000F">
      <w:start w:val="1"/>
      <w:numFmt w:val="decimal"/>
      <w:lvlText w:val="%1."/>
      <w:lvlJc w:val="left"/>
      <w:pPr>
        <w:tabs>
          <w:tab w:val="num" w:pos="360"/>
        </w:tabs>
        <w:ind w:left="360" w:hanging="360"/>
      </w:pPr>
    </w:lvl>
    <w:lvl w:ilvl="1" w:tplc="C2C24296">
      <w:start w:val="1"/>
      <w:numFmt w:val="bullet"/>
      <w:lvlText w:val="-"/>
      <w:lvlJc w:val="left"/>
      <w:pPr>
        <w:tabs>
          <w:tab w:val="num" w:pos="170"/>
        </w:tabs>
        <w:ind w:left="170" w:hanging="170"/>
      </w:pPr>
      <w:rPr>
        <w:rFonts w:hint="default"/>
        <w:sz w:val="16"/>
      </w:rPr>
    </w:lvl>
    <w:lvl w:ilvl="2" w:tplc="08070001">
      <w:start w:val="1"/>
      <w:numFmt w:val="bullet"/>
      <w:lvlText w:val=""/>
      <w:lvlJc w:val="left"/>
      <w:pPr>
        <w:tabs>
          <w:tab w:val="num" w:pos="1980"/>
        </w:tabs>
        <w:ind w:left="1980" w:hanging="360"/>
      </w:pPr>
      <w:rPr>
        <w:rFonts w:ascii="Symbol" w:hAnsi="Symbol" w:hint="default"/>
      </w:r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9">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2"/>
  </w:num>
  <w:num w:numId="3">
    <w:abstractNumId w:val="29"/>
  </w:num>
  <w:num w:numId="4">
    <w:abstractNumId w:val="14"/>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20"/>
  </w:num>
  <w:num w:numId="15">
    <w:abstractNumId w:val="7"/>
  </w:num>
  <w:num w:numId="16">
    <w:abstractNumId w:val="21"/>
  </w:num>
  <w:num w:numId="17">
    <w:abstractNumId w:val="25"/>
  </w:num>
  <w:num w:numId="18">
    <w:abstractNumId w:val="10"/>
  </w:num>
  <w:num w:numId="19">
    <w:abstractNumId w:val="12"/>
  </w:num>
  <w:num w:numId="20">
    <w:abstractNumId w:val="27"/>
  </w:num>
  <w:num w:numId="21">
    <w:abstractNumId w:val="24"/>
  </w:num>
  <w:num w:numId="22">
    <w:abstractNumId w:val="1"/>
  </w:num>
  <w:num w:numId="23">
    <w:abstractNumId w:val="9"/>
  </w:num>
  <w:num w:numId="24">
    <w:abstractNumId w:val="19"/>
  </w:num>
  <w:num w:numId="25">
    <w:abstractNumId w:val="3"/>
  </w:num>
  <w:num w:numId="26">
    <w:abstractNumId w:val="16"/>
  </w:num>
  <w:num w:numId="27">
    <w:abstractNumId w:val="26"/>
  </w:num>
  <w:num w:numId="28">
    <w:abstractNumId w:val="8"/>
  </w:num>
  <w:num w:numId="29">
    <w:abstractNumId w:val="15"/>
  </w:num>
  <w:num w:numId="30">
    <w:abstractNumId w:val="17"/>
  </w:num>
  <w:num w:numId="31">
    <w:abstractNumId w:val="6"/>
  </w:num>
  <w:num w:numId="32">
    <w:abstractNumId w:val="18"/>
  </w:num>
  <w:num w:numId="33">
    <w:abstractNumId w:val="4"/>
  </w:num>
  <w:num w:numId="34">
    <w:abstractNumId w:val="28"/>
  </w:num>
  <w:num w:numId="35">
    <w:abstractNumId w:val="5"/>
  </w:num>
  <w:num w:numId="36">
    <w:abstractNumId w:val="23"/>
  </w:num>
  <w:num w:numId="37">
    <w:abstractNumId w:val="0"/>
  </w:num>
  <w:num w:numId="38">
    <w:abstractNumId w:val="1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mailMerge>
    <w:mainDocumentType w:val="formLetters"/>
    <w:linkToQuery/>
    <w:dataType w:val="textFile"/>
    <w:query w:val="SELECT * FROM C:\Users\seco-kne\SapWorkDir\WORDFOLE.DOC"/>
    <w:odso/>
  </w:mailMerge>
  <w:defaultTabStop w:val="709"/>
  <w:hyphenationZone w:val="425"/>
  <w:drawingGridHorizontalSpacing w:val="110"/>
  <w:displayHorizontalDrawingGridEvery w:val="2"/>
  <w:doNotShadeFormData/>
  <w:noPunctuationKerning/>
  <w:characterSpacingControl w:val="doNotCompress"/>
  <w:hdrShapeDefaults>
    <o:shapedefaults v:ext="edit" spidmax="5121"/>
  </w:hdrShapeDefaults>
  <w:footnotePr>
    <w:footnote w:id="0"/>
    <w:footnote w:id="1"/>
  </w:footnotePr>
  <w:endnotePr>
    <w:endnote w:id="0"/>
    <w:endnote w:id="1"/>
  </w:endnotePr>
  <w:compat/>
  <w:rsids>
    <w:rsidRoot w:val="00A20230"/>
    <w:rsid w:val="00003708"/>
    <w:rsid w:val="00004BD9"/>
    <w:rsid w:val="00005403"/>
    <w:rsid w:val="00013EE7"/>
    <w:rsid w:val="00017B75"/>
    <w:rsid w:val="00026109"/>
    <w:rsid w:val="00052239"/>
    <w:rsid w:val="00056CA4"/>
    <w:rsid w:val="0005702E"/>
    <w:rsid w:val="00057DB4"/>
    <w:rsid w:val="000620D5"/>
    <w:rsid w:val="0006298B"/>
    <w:rsid w:val="0006499B"/>
    <w:rsid w:val="00087E8C"/>
    <w:rsid w:val="000D1C53"/>
    <w:rsid w:val="000D2BEC"/>
    <w:rsid w:val="000D4F13"/>
    <w:rsid w:val="000F0E13"/>
    <w:rsid w:val="000F34D3"/>
    <w:rsid w:val="001114C1"/>
    <w:rsid w:val="00121BC0"/>
    <w:rsid w:val="0012447C"/>
    <w:rsid w:val="00135495"/>
    <w:rsid w:val="001705EE"/>
    <w:rsid w:val="001838C7"/>
    <w:rsid w:val="001840BB"/>
    <w:rsid w:val="001A0946"/>
    <w:rsid w:val="001B704C"/>
    <w:rsid w:val="001C6035"/>
    <w:rsid w:val="001F69C3"/>
    <w:rsid w:val="0020012B"/>
    <w:rsid w:val="002101BB"/>
    <w:rsid w:val="002148C4"/>
    <w:rsid w:val="00234CEE"/>
    <w:rsid w:val="0026655A"/>
    <w:rsid w:val="002952B6"/>
    <w:rsid w:val="002B45F8"/>
    <w:rsid w:val="002D055E"/>
    <w:rsid w:val="002D703C"/>
    <w:rsid w:val="002F3C3E"/>
    <w:rsid w:val="00305C79"/>
    <w:rsid w:val="00311908"/>
    <w:rsid w:val="00320ED4"/>
    <w:rsid w:val="00326B23"/>
    <w:rsid w:val="00331E75"/>
    <w:rsid w:val="003356F7"/>
    <w:rsid w:val="00342FF1"/>
    <w:rsid w:val="00352DED"/>
    <w:rsid w:val="00364740"/>
    <w:rsid w:val="00385CCF"/>
    <w:rsid w:val="003932BD"/>
    <w:rsid w:val="003B24C7"/>
    <w:rsid w:val="003C2BAA"/>
    <w:rsid w:val="003C310F"/>
    <w:rsid w:val="003D158B"/>
    <w:rsid w:val="003D5DBD"/>
    <w:rsid w:val="003E7E4B"/>
    <w:rsid w:val="003F3E20"/>
    <w:rsid w:val="0040719A"/>
    <w:rsid w:val="0041090C"/>
    <w:rsid w:val="00420FBC"/>
    <w:rsid w:val="00440DDC"/>
    <w:rsid w:val="0046509F"/>
    <w:rsid w:val="00487CB7"/>
    <w:rsid w:val="00497313"/>
    <w:rsid w:val="004E65B0"/>
    <w:rsid w:val="005007E0"/>
    <w:rsid w:val="0051202C"/>
    <w:rsid w:val="00520D05"/>
    <w:rsid w:val="00522198"/>
    <w:rsid w:val="00551BAA"/>
    <w:rsid w:val="00562A05"/>
    <w:rsid w:val="00563B36"/>
    <w:rsid w:val="005908AB"/>
    <w:rsid w:val="00592685"/>
    <w:rsid w:val="00595251"/>
    <w:rsid w:val="00595329"/>
    <w:rsid w:val="005A404C"/>
    <w:rsid w:val="005A561B"/>
    <w:rsid w:val="005C10FB"/>
    <w:rsid w:val="005D2907"/>
    <w:rsid w:val="005E3555"/>
    <w:rsid w:val="005E6DAA"/>
    <w:rsid w:val="005F26AF"/>
    <w:rsid w:val="005F5560"/>
    <w:rsid w:val="00617825"/>
    <w:rsid w:val="00651EA5"/>
    <w:rsid w:val="006F1DDA"/>
    <w:rsid w:val="006F43E1"/>
    <w:rsid w:val="006F46D0"/>
    <w:rsid w:val="006F6C76"/>
    <w:rsid w:val="0070021B"/>
    <w:rsid w:val="00723567"/>
    <w:rsid w:val="00735E2D"/>
    <w:rsid w:val="007378AD"/>
    <w:rsid w:val="00751567"/>
    <w:rsid w:val="007516DB"/>
    <w:rsid w:val="00783738"/>
    <w:rsid w:val="0079259E"/>
    <w:rsid w:val="007C650F"/>
    <w:rsid w:val="007C7259"/>
    <w:rsid w:val="007D3252"/>
    <w:rsid w:val="008142D8"/>
    <w:rsid w:val="00831799"/>
    <w:rsid w:val="008327DD"/>
    <w:rsid w:val="00837652"/>
    <w:rsid w:val="00865A78"/>
    <w:rsid w:val="0088282C"/>
    <w:rsid w:val="00884B38"/>
    <w:rsid w:val="0088549B"/>
    <w:rsid w:val="008A6D83"/>
    <w:rsid w:val="008D47E3"/>
    <w:rsid w:val="008F791D"/>
    <w:rsid w:val="00901419"/>
    <w:rsid w:val="00932C95"/>
    <w:rsid w:val="009659F6"/>
    <w:rsid w:val="009805D3"/>
    <w:rsid w:val="009854FE"/>
    <w:rsid w:val="009B6B72"/>
    <w:rsid w:val="009C0F44"/>
    <w:rsid w:val="009E4DC3"/>
    <w:rsid w:val="009F3AE7"/>
    <w:rsid w:val="009F73C9"/>
    <w:rsid w:val="00A04F23"/>
    <w:rsid w:val="00A20230"/>
    <w:rsid w:val="00A35270"/>
    <w:rsid w:val="00A47A27"/>
    <w:rsid w:val="00A55273"/>
    <w:rsid w:val="00A8400A"/>
    <w:rsid w:val="00A877F3"/>
    <w:rsid w:val="00A92C73"/>
    <w:rsid w:val="00AA7059"/>
    <w:rsid w:val="00AB3040"/>
    <w:rsid w:val="00AC5AD4"/>
    <w:rsid w:val="00AE41B9"/>
    <w:rsid w:val="00B30336"/>
    <w:rsid w:val="00B37449"/>
    <w:rsid w:val="00B41816"/>
    <w:rsid w:val="00B443B6"/>
    <w:rsid w:val="00BA6E4E"/>
    <w:rsid w:val="00BB208B"/>
    <w:rsid w:val="00BB4975"/>
    <w:rsid w:val="00BB4A99"/>
    <w:rsid w:val="00BC07D5"/>
    <w:rsid w:val="00BC1F0B"/>
    <w:rsid w:val="00BC31DA"/>
    <w:rsid w:val="00BF23F6"/>
    <w:rsid w:val="00C03FE3"/>
    <w:rsid w:val="00C11F20"/>
    <w:rsid w:val="00C14881"/>
    <w:rsid w:val="00C151C8"/>
    <w:rsid w:val="00C27FEE"/>
    <w:rsid w:val="00C32C64"/>
    <w:rsid w:val="00C54496"/>
    <w:rsid w:val="00C565F1"/>
    <w:rsid w:val="00C60FB3"/>
    <w:rsid w:val="00C76BA7"/>
    <w:rsid w:val="00C95CBC"/>
    <w:rsid w:val="00CA2190"/>
    <w:rsid w:val="00CA259B"/>
    <w:rsid w:val="00CB661C"/>
    <w:rsid w:val="00CC5A23"/>
    <w:rsid w:val="00CD0F3A"/>
    <w:rsid w:val="00CE0E72"/>
    <w:rsid w:val="00CF5D6F"/>
    <w:rsid w:val="00D01107"/>
    <w:rsid w:val="00D407DB"/>
    <w:rsid w:val="00D57E44"/>
    <w:rsid w:val="00D9799E"/>
    <w:rsid w:val="00DB0131"/>
    <w:rsid w:val="00DC40C2"/>
    <w:rsid w:val="00DD0189"/>
    <w:rsid w:val="00DD6F85"/>
    <w:rsid w:val="00DE03C0"/>
    <w:rsid w:val="00DE1017"/>
    <w:rsid w:val="00DF5F59"/>
    <w:rsid w:val="00E12A11"/>
    <w:rsid w:val="00E66C41"/>
    <w:rsid w:val="00E90F4E"/>
    <w:rsid w:val="00E9143F"/>
    <w:rsid w:val="00EC1C14"/>
    <w:rsid w:val="00ED49F5"/>
    <w:rsid w:val="00EF32A0"/>
    <w:rsid w:val="00EF4CA3"/>
    <w:rsid w:val="00F31C7C"/>
    <w:rsid w:val="00F40888"/>
    <w:rsid w:val="00F47B64"/>
    <w:rsid w:val="00F51665"/>
    <w:rsid w:val="00F57B00"/>
    <w:rsid w:val="00F659C8"/>
    <w:rsid w:val="00F7672B"/>
    <w:rsid w:val="00F82D12"/>
    <w:rsid w:val="00F856BB"/>
    <w:rsid w:val="00F95D92"/>
    <w:rsid w:val="00FA0BBA"/>
    <w:rsid w:val="00FB0ED5"/>
    <w:rsid w:val="00FC286F"/>
    <w:rsid w:val="00FE06C0"/>
    <w:rsid w:val="00FE2512"/>
    <w:rsid w:val="00FF7E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able of figures" w:uiPriority="0"/>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0BB"/>
    <w:pPr>
      <w:spacing w:before="180" w:line="260" w:lineRule="atLeast"/>
    </w:pPr>
    <w:rPr>
      <w:rFonts w:ascii="Arial" w:hAnsi="Arial"/>
      <w:sz w:val="22"/>
      <w:szCs w:val="24"/>
      <w:lang w:val="de-CH"/>
    </w:rPr>
  </w:style>
  <w:style w:type="paragraph" w:styleId="Heading1">
    <w:name w:val="heading 1"/>
    <w:basedOn w:val="Normal"/>
    <w:next w:val="Normal"/>
    <w:qFormat/>
    <w:rsid w:val="001840BB"/>
    <w:pPr>
      <w:keepNext/>
      <w:numPr>
        <w:numId w:val="5"/>
      </w:numPr>
      <w:tabs>
        <w:tab w:val="left" w:pos="851"/>
      </w:tabs>
      <w:suppressAutoHyphens/>
      <w:spacing w:before="360"/>
      <w:ind w:left="851" w:hanging="851"/>
      <w:outlineLvl w:val="0"/>
    </w:pPr>
    <w:rPr>
      <w:b/>
      <w:bCs/>
      <w:sz w:val="28"/>
    </w:rPr>
  </w:style>
  <w:style w:type="paragraph" w:styleId="Heading2">
    <w:name w:val="heading 2"/>
    <w:basedOn w:val="Heading1"/>
    <w:next w:val="Normal"/>
    <w:qFormat/>
    <w:rsid w:val="001840BB"/>
    <w:pPr>
      <w:numPr>
        <w:ilvl w:val="1"/>
        <w:numId w:val="6"/>
      </w:numPr>
      <w:tabs>
        <w:tab w:val="clear" w:pos="576"/>
      </w:tabs>
      <w:spacing w:before="240"/>
      <w:ind w:left="851" w:hanging="851"/>
      <w:outlineLvl w:val="1"/>
    </w:pPr>
    <w:rPr>
      <w:bCs w:val="0"/>
    </w:rPr>
  </w:style>
  <w:style w:type="paragraph" w:styleId="Heading3">
    <w:name w:val="heading 3"/>
    <w:basedOn w:val="Heading2"/>
    <w:next w:val="Normal"/>
    <w:qFormat/>
    <w:rsid w:val="001840BB"/>
    <w:pPr>
      <w:numPr>
        <w:ilvl w:val="2"/>
        <w:numId w:val="7"/>
      </w:numPr>
      <w:tabs>
        <w:tab w:val="clear" w:pos="720"/>
      </w:tabs>
      <w:ind w:left="851" w:hanging="851"/>
      <w:outlineLvl w:val="2"/>
    </w:pPr>
    <w:rPr>
      <w:rFonts w:cs="Arial"/>
      <w:bCs/>
      <w:szCs w:val="26"/>
    </w:rPr>
  </w:style>
  <w:style w:type="paragraph" w:styleId="Heading4">
    <w:name w:val="heading 4"/>
    <w:basedOn w:val="Heading3"/>
    <w:next w:val="Normal"/>
    <w:qFormat/>
    <w:rsid w:val="001840BB"/>
    <w:pPr>
      <w:numPr>
        <w:ilvl w:val="3"/>
        <w:numId w:val="8"/>
      </w:numPr>
      <w:tabs>
        <w:tab w:val="clear" w:pos="851"/>
        <w:tab w:val="clear" w:pos="1080"/>
        <w:tab w:val="left" w:pos="1429"/>
      </w:tabs>
      <w:ind w:left="1429" w:hanging="1429"/>
      <w:outlineLvl w:val="3"/>
    </w:pPr>
    <w:rPr>
      <w:bCs w:val="0"/>
      <w:sz w:val="24"/>
      <w:szCs w:val="28"/>
    </w:rPr>
  </w:style>
  <w:style w:type="paragraph" w:styleId="Heading5">
    <w:name w:val="heading 5"/>
    <w:basedOn w:val="Heading4"/>
    <w:next w:val="Normal"/>
    <w:qFormat/>
    <w:rsid w:val="001840BB"/>
    <w:pPr>
      <w:numPr>
        <w:ilvl w:val="4"/>
        <w:numId w:val="9"/>
      </w:numPr>
      <w:tabs>
        <w:tab w:val="clear" w:pos="1440"/>
        <w:tab w:val="left" w:pos="1429"/>
      </w:tabs>
      <w:ind w:left="1429" w:hanging="1429"/>
      <w:outlineLvl w:val="4"/>
    </w:pPr>
    <w:rPr>
      <w:bCs/>
      <w:iCs/>
      <w:szCs w:val="26"/>
    </w:rPr>
  </w:style>
  <w:style w:type="paragraph" w:styleId="Heading6">
    <w:name w:val="heading 6"/>
    <w:basedOn w:val="Heading5"/>
    <w:next w:val="Normal"/>
    <w:qFormat/>
    <w:rsid w:val="001840BB"/>
    <w:pPr>
      <w:numPr>
        <w:ilvl w:val="5"/>
        <w:numId w:val="10"/>
      </w:numPr>
      <w:tabs>
        <w:tab w:val="clear" w:pos="1440"/>
        <w:tab w:val="left" w:pos="1429"/>
      </w:tabs>
      <w:ind w:left="1429" w:hanging="1429"/>
      <w:outlineLvl w:val="5"/>
    </w:pPr>
    <w:rPr>
      <w:bCs w:val="0"/>
      <w:szCs w:val="22"/>
    </w:rPr>
  </w:style>
  <w:style w:type="paragraph" w:styleId="Heading7">
    <w:name w:val="heading 7"/>
    <w:basedOn w:val="Heading6"/>
    <w:next w:val="Normal"/>
    <w:qFormat/>
    <w:rsid w:val="001840BB"/>
    <w:pPr>
      <w:numPr>
        <w:ilvl w:val="6"/>
        <w:numId w:val="11"/>
      </w:numPr>
      <w:tabs>
        <w:tab w:val="clear" w:pos="1296"/>
        <w:tab w:val="clear" w:pos="1429"/>
        <w:tab w:val="left" w:pos="1979"/>
      </w:tabs>
      <w:ind w:left="1979" w:hanging="1979"/>
      <w:outlineLvl w:val="6"/>
    </w:pPr>
    <w:rPr>
      <w:b w:val="0"/>
    </w:rPr>
  </w:style>
  <w:style w:type="paragraph" w:styleId="Heading8">
    <w:name w:val="heading 8"/>
    <w:basedOn w:val="Heading7"/>
    <w:next w:val="Normal"/>
    <w:qFormat/>
    <w:rsid w:val="001840BB"/>
    <w:pPr>
      <w:numPr>
        <w:ilvl w:val="7"/>
        <w:numId w:val="12"/>
      </w:numPr>
      <w:tabs>
        <w:tab w:val="clear" w:pos="1440"/>
      </w:tabs>
      <w:ind w:left="1979" w:hanging="1979"/>
      <w:outlineLvl w:val="7"/>
    </w:pPr>
    <w:rPr>
      <w:iCs w:val="0"/>
    </w:rPr>
  </w:style>
  <w:style w:type="paragraph" w:styleId="Heading9">
    <w:name w:val="heading 9"/>
    <w:basedOn w:val="Heading8"/>
    <w:next w:val="Normal"/>
    <w:qFormat/>
    <w:rsid w:val="001840BB"/>
    <w:pPr>
      <w:numPr>
        <w:ilvl w:val="8"/>
        <w:numId w:val="13"/>
      </w:numPr>
      <w:tabs>
        <w:tab w:val="clear" w:pos="1584"/>
      </w:tabs>
      <w:ind w:left="1979" w:hanging="197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840BB"/>
    <w:pPr>
      <w:spacing w:before="60"/>
    </w:pPr>
    <w:rPr>
      <w:sz w:val="18"/>
      <w:szCs w:val="20"/>
    </w:rPr>
  </w:style>
  <w:style w:type="paragraph" w:customStyle="1" w:styleId="zzAdresse">
    <w:name w:val="zz Adresse"/>
    <w:rsid w:val="001840BB"/>
    <w:pPr>
      <w:spacing w:line="260" w:lineRule="exact"/>
    </w:pPr>
    <w:rPr>
      <w:rFonts w:ascii="Arial" w:hAnsi="Arial"/>
      <w:noProof/>
      <w:szCs w:val="24"/>
      <w:lang w:val="de-CH"/>
    </w:rPr>
  </w:style>
  <w:style w:type="character" w:styleId="FootnoteReference">
    <w:name w:val="footnote reference"/>
    <w:basedOn w:val="DefaultParagraphFont"/>
    <w:semiHidden/>
    <w:rsid w:val="001840BB"/>
    <w:rPr>
      <w:rFonts w:ascii="Arial" w:hAnsi="Arial"/>
      <w:sz w:val="18"/>
      <w:vertAlign w:val="superscript"/>
    </w:rPr>
  </w:style>
  <w:style w:type="paragraph" w:styleId="Footer">
    <w:name w:val="footer"/>
    <w:semiHidden/>
    <w:rsid w:val="001840BB"/>
    <w:pPr>
      <w:tabs>
        <w:tab w:val="center" w:pos="4320"/>
        <w:tab w:val="right" w:pos="8640"/>
      </w:tabs>
    </w:pPr>
    <w:rPr>
      <w:rFonts w:ascii="Arial" w:hAnsi="Arial"/>
      <w:noProof/>
      <w:sz w:val="15"/>
      <w:szCs w:val="24"/>
      <w:lang w:val="de-CH" w:eastAsia="de-DE"/>
    </w:rPr>
  </w:style>
  <w:style w:type="paragraph" w:styleId="Header">
    <w:name w:val="header"/>
    <w:basedOn w:val="Normal"/>
    <w:semiHidden/>
    <w:rsid w:val="001840BB"/>
    <w:pPr>
      <w:spacing w:before="0" w:line="240" w:lineRule="auto"/>
    </w:pPr>
    <w:rPr>
      <w:noProof/>
      <w:sz w:val="15"/>
      <w:lang w:eastAsia="de-DE"/>
    </w:rPr>
  </w:style>
  <w:style w:type="paragraph" w:customStyle="1" w:styleId="ListeStrichI">
    <w:name w:val="Liste Strich I"/>
    <w:basedOn w:val="Normal"/>
    <w:rsid w:val="001840BB"/>
    <w:pPr>
      <w:numPr>
        <w:numId w:val="1"/>
      </w:numPr>
      <w:tabs>
        <w:tab w:val="clear" w:pos="360"/>
        <w:tab w:val="left" w:pos="340"/>
      </w:tabs>
      <w:spacing w:before="120"/>
      <w:ind w:left="341"/>
    </w:pPr>
    <w:rPr>
      <w:szCs w:val="20"/>
      <w:lang w:eastAsia="de-DE"/>
    </w:rPr>
  </w:style>
  <w:style w:type="paragraph" w:customStyle="1" w:styleId="ListePunktI">
    <w:name w:val="Liste Punkt I"/>
    <w:basedOn w:val="ListeStrichI"/>
    <w:rsid w:val="001840BB"/>
    <w:pPr>
      <w:numPr>
        <w:numId w:val="2"/>
      </w:numPr>
      <w:tabs>
        <w:tab w:val="clear" w:pos="360"/>
        <w:tab w:val="left" w:pos="340"/>
      </w:tabs>
      <w:ind w:left="341"/>
    </w:pPr>
  </w:style>
  <w:style w:type="paragraph" w:customStyle="1" w:styleId="ListeStrichII">
    <w:name w:val="Liste Strich II"/>
    <w:basedOn w:val="ListeStrichI"/>
    <w:rsid w:val="001840BB"/>
    <w:pPr>
      <w:numPr>
        <w:numId w:val="3"/>
      </w:numPr>
      <w:tabs>
        <w:tab w:val="clear" w:pos="644"/>
        <w:tab w:val="left" w:pos="340"/>
        <w:tab w:val="left" w:pos="624"/>
      </w:tabs>
      <w:ind w:left="624"/>
    </w:pPr>
  </w:style>
  <w:style w:type="paragraph" w:customStyle="1" w:styleId="ListePunktII">
    <w:name w:val="Liste Punkt II"/>
    <w:basedOn w:val="ListeStrichII"/>
    <w:rsid w:val="001840BB"/>
    <w:pPr>
      <w:numPr>
        <w:numId w:val="4"/>
      </w:numPr>
      <w:tabs>
        <w:tab w:val="clear" w:pos="644"/>
        <w:tab w:val="left" w:pos="624"/>
      </w:tabs>
      <w:ind w:left="624" w:hanging="284"/>
    </w:pPr>
  </w:style>
  <w:style w:type="character" w:styleId="PageNumber">
    <w:name w:val="page number"/>
    <w:basedOn w:val="DefaultParagraphFont"/>
    <w:semiHidden/>
    <w:rsid w:val="001840BB"/>
    <w:rPr>
      <w:rFonts w:ascii="Arial" w:hAnsi="Arial"/>
      <w:noProof/>
      <w:sz w:val="15"/>
      <w:lang w:val="de-CH"/>
    </w:rPr>
  </w:style>
  <w:style w:type="paragraph" w:customStyle="1" w:styleId="Tabellentext">
    <w:name w:val="Tabellentext"/>
    <w:basedOn w:val="Normal"/>
    <w:rsid w:val="001840BB"/>
    <w:pPr>
      <w:spacing w:before="60" w:after="20"/>
      <w:ind w:left="57" w:right="57"/>
    </w:pPr>
  </w:style>
  <w:style w:type="paragraph" w:customStyle="1" w:styleId="Tabellentitel">
    <w:name w:val="Tabellentitel"/>
    <w:basedOn w:val="Normal"/>
    <w:rsid w:val="001840BB"/>
    <w:pPr>
      <w:spacing w:before="60" w:after="20"/>
      <w:ind w:left="57" w:right="57"/>
    </w:pPr>
    <w:rPr>
      <w:b/>
    </w:rPr>
  </w:style>
  <w:style w:type="paragraph" w:customStyle="1" w:styleId="TitelI">
    <w:name w:val="Titel I"/>
    <w:basedOn w:val="Heading1"/>
    <w:next w:val="Normal"/>
    <w:rsid w:val="001840BB"/>
    <w:pPr>
      <w:numPr>
        <w:numId w:val="0"/>
      </w:numPr>
      <w:tabs>
        <w:tab w:val="clear" w:pos="851"/>
      </w:tabs>
    </w:pPr>
    <w:rPr>
      <w:szCs w:val="20"/>
      <w:lang w:eastAsia="de-DE"/>
    </w:rPr>
  </w:style>
  <w:style w:type="paragraph" w:customStyle="1" w:styleId="TitelII">
    <w:name w:val="Titel II"/>
    <w:basedOn w:val="Heading2"/>
    <w:next w:val="Normal"/>
    <w:rsid w:val="001840BB"/>
    <w:pPr>
      <w:numPr>
        <w:ilvl w:val="0"/>
        <w:numId w:val="0"/>
      </w:numPr>
    </w:pPr>
    <w:rPr>
      <w:sz w:val="24"/>
      <w:szCs w:val="20"/>
      <w:lang w:eastAsia="de-DE"/>
    </w:rPr>
  </w:style>
  <w:style w:type="paragraph" w:styleId="TOC1">
    <w:name w:val="toc 1"/>
    <w:basedOn w:val="Normal"/>
    <w:next w:val="Normal"/>
    <w:semiHidden/>
    <w:rsid w:val="001840BB"/>
    <w:pPr>
      <w:tabs>
        <w:tab w:val="right" w:pos="9344"/>
      </w:tabs>
      <w:suppressAutoHyphens/>
      <w:spacing w:before="60"/>
      <w:ind w:left="624" w:hanging="624"/>
    </w:pPr>
    <w:rPr>
      <w:noProof/>
    </w:rPr>
  </w:style>
  <w:style w:type="paragraph" w:styleId="TOC2">
    <w:name w:val="toc 2"/>
    <w:basedOn w:val="TOC1"/>
    <w:next w:val="Normal"/>
    <w:semiHidden/>
    <w:rsid w:val="001840BB"/>
  </w:style>
  <w:style w:type="paragraph" w:styleId="TOC3">
    <w:name w:val="toc 3"/>
    <w:basedOn w:val="TOC2"/>
    <w:next w:val="Normal"/>
    <w:semiHidden/>
    <w:rsid w:val="001840BB"/>
  </w:style>
  <w:style w:type="paragraph" w:styleId="TOC4">
    <w:name w:val="toc 4"/>
    <w:basedOn w:val="TOC3"/>
    <w:next w:val="Normal"/>
    <w:semiHidden/>
    <w:rsid w:val="001840BB"/>
  </w:style>
  <w:style w:type="paragraph" w:styleId="TOC5">
    <w:name w:val="toc 5"/>
    <w:basedOn w:val="TOC4"/>
    <w:next w:val="Normal"/>
    <w:semiHidden/>
    <w:rsid w:val="001840BB"/>
  </w:style>
  <w:style w:type="paragraph" w:styleId="TOC6">
    <w:name w:val="toc 6"/>
    <w:basedOn w:val="TOC5"/>
    <w:next w:val="Normal"/>
    <w:semiHidden/>
    <w:rsid w:val="001840BB"/>
  </w:style>
  <w:style w:type="paragraph" w:styleId="TOC7">
    <w:name w:val="toc 7"/>
    <w:basedOn w:val="TOC6"/>
    <w:next w:val="Normal"/>
    <w:semiHidden/>
    <w:rsid w:val="001840BB"/>
    <w:pPr>
      <w:ind w:left="454"/>
    </w:pPr>
  </w:style>
  <w:style w:type="paragraph" w:styleId="TOC8">
    <w:name w:val="toc 8"/>
    <w:basedOn w:val="TOC7"/>
    <w:next w:val="Normal"/>
    <w:semiHidden/>
    <w:rsid w:val="001840BB"/>
  </w:style>
  <w:style w:type="paragraph" w:styleId="TOC9">
    <w:name w:val="toc 9"/>
    <w:basedOn w:val="TOC8"/>
    <w:next w:val="Normal"/>
    <w:semiHidden/>
    <w:rsid w:val="001840BB"/>
  </w:style>
  <w:style w:type="paragraph" w:customStyle="1" w:styleId="zzZusatzformatI">
    <w:name w:val="zz Zusatzformat I"/>
    <w:rsid w:val="001840BB"/>
    <w:pPr>
      <w:spacing w:line="260" w:lineRule="exact"/>
    </w:pPr>
    <w:rPr>
      <w:rFonts w:ascii="Arial" w:hAnsi="Arial"/>
      <w:szCs w:val="24"/>
      <w:lang w:val="de-CH"/>
    </w:rPr>
  </w:style>
  <w:style w:type="paragraph" w:customStyle="1" w:styleId="zzZusatzformatIfett">
    <w:name w:val="zz Zusatzformat I fett"/>
    <w:basedOn w:val="zzZusatzformatI"/>
    <w:next w:val="Normal"/>
    <w:rsid w:val="001840BB"/>
    <w:rPr>
      <w:b/>
      <w:sz w:val="22"/>
    </w:rPr>
  </w:style>
  <w:style w:type="paragraph" w:customStyle="1" w:styleId="zzZusatzformatII">
    <w:name w:val="zz Zusatzformat II"/>
    <w:basedOn w:val="Normal"/>
    <w:next w:val="zzZusatzformatI"/>
    <w:rsid w:val="001840BB"/>
    <w:pPr>
      <w:spacing w:before="360"/>
    </w:pPr>
    <w:rPr>
      <w:b/>
      <w:sz w:val="28"/>
    </w:rPr>
  </w:style>
  <w:style w:type="paragraph" w:customStyle="1" w:styleId="zzPost">
    <w:name w:val="zz Post"/>
    <w:next w:val="Normal"/>
    <w:rsid w:val="001840BB"/>
    <w:pPr>
      <w:spacing w:after="140" w:line="200" w:lineRule="exact"/>
    </w:pPr>
    <w:rPr>
      <w:rFonts w:ascii="Arial" w:hAnsi="Arial"/>
      <w:sz w:val="14"/>
      <w:u w:val="single"/>
      <w:lang w:val="de-CH" w:eastAsia="de-CH"/>
    </w:rPr>
  </w:style>
  <w:style w:type="paragraph" w:customStyle="1" w:styleId="zzRef">
    <w:name w:val="zz Ref"/>
    <w:next w:val="Normal"/>
    <w:rsid w:val="001840BB"/>
    <w:pPr>
      <w:spacing w:line="200" w:lineRule="exact"/>
    </w:pPr>
    <w:rPr>
      <w:rFonts w:ascii="Arial" w:hAnsi="Arial"/>
      <w:sz w:val="15"/>
      <w:lang w:val="de-CH" w:eastAsia="de-CH"/>
    </w:rPr>
  </w:style>
  <w:style w:type="paragraph" w:customStyle="1" w:styleId="zzZustellvermerke">
    <w:name w:val="zz Zustellvermerke"/>
    <w:rsid w:val="001840BB"/>
    <w:pPr>
      <w:spacing w:line="260" w:lineRule="exact"/>
    </w:pPr>
    <w:rPr>
      <w:rFonts w:ascii="Arial" w:hAnsi="Arial"/>
      <w:b/>
      <w:szCs w:val="11"/>
      <w:lang w:val="de-CH"/>
    </w:rPr>
  </w:style>
  <w:style w:type="paragraph" w:customStyle="1" w:styleId="zzKopfDept">
    <w:name w:val="zz KopfDept"/>
    <w:next w:val="Normal"/>
    <w:rsid w:val="001840BB"/>
    <w:pPr>
      <w:suppressAutoHyphens/>
      <w:spacing w:after="100" w:line="200" w:lineRule="exact"/>
      <w:contextualSpacing/>
    </w:pPr>
    <w:rPr>
      <w:rFonts w:ascii="Arial" w:hAnsi="Arial"/>
      <w:noProof/>
      <w:sz w:val="15"/>
      <w:lang w:val="de-CH" w:eastAsia="de-CH"/>
    </w:rPr>
  </w:style>
  <w:style w:type="paragraph" w:customStyle="1" w:styleId="zzKopfFett">
    <w:name w:val="zz KopfFett"/>
    <w:next w:val="Header"/>
    <w:rsid w:val="001840BB"/>
    <w:pPr>
      <w:suppressAutoHyphens/>
      <w:spacing w:line="200" w:lineRule="exact"/>
    </w:pPr>
    <w:rPr>
      <w:rFonts w:ascii="Arial" w:hAnsi="Arial"/>
      <w:b/>
      <w:noProof/>
      <w:sz w:val="15"/>
      <w:lang w:val="de-CH" w:eastAsia="de-CH"/>
    </w:rPr>
  </w:style>
  <w:style w:type="paragraph" w:customStyle="1" w:styleId="zzKopfOE">
    <w:name w:val="zz KopfOE"/>
    <w:rsid w:val="001840BB"/>
    <w:pPr>
      <w:spacing w:line="200" w:lineRule="exact"/>
    </w:pPr>
    <w:rPr>
      <w:rFonts w:ascii="Arial" w:hAnsi="Arial"/>
      <w:noProof/>
      <w:sz w:val="15"/>
      <w:szCs w:val="24"/>
      <w:lang w:val="de-CH" w:eastAsia="de-DE"/>
    </w:rPr>
  </w:style>
  <w:style w:type="paragraph" w:customStyle="1" w:styleId="zzPfad">
    <w:name w:val="zz Pfad"/>
    <w:basedOn w:val="Footer"/>
    <w:rsid w:val="001840BB"/>
    <w:pPr>
      <w:spacing w:line="160" w:lineRule="exact"/>
    </w:pPr>
    <w:rPr>
      <w:bCs/>
      <w:sz w:val="12"/>
      <w:lang w:val="de-DE"/>
    </w:rPr>
  </w:style>
  <w:style w:type="paragraph" w:customStyle="1" w:styleId="zzFussAdr">
    <w:name w:val="zz FussAdr"/>
    <w:rsid w:val="001840BB"/>
    <w:pPr>
      <w:spacing w:line="200" w:lineRule="exact"/>
    </w:pPr>
    <w:rPr>
      <w:rFonts w:ascii="Arial" w:hAnsi="Arial"/>
      <w:noProof/>
      <w:sz w:val="15"/>
      <w:szCs w:val="24"/>
      <w:lang w:val="de-CH" w:eastAsia="de-DE"/>
    </w:rPr>
  </w:style>
  <w:style w:type="paragraph" w:customStyle="1" w:styleId="zzSeite">
    <w:name w:val="zz Seite"/>
    <w:rsid w:val="001840BB"/>
    <w:pPr>
      <w:spacing w:line="200" w:lineRule="exact"/>
      <w:jc w:val="right"/>
    </w:pPr>
    <w:rPr>
      <w:rFonts w:ascii="Arial" w:hAnsi="Arial"/>
      <w:sz w:val="14"/>
      <w:szCs w:val="24"/>
      <w:lang w:val="de-CH"/>
    </w:rPr>
  </w:style>
  <w:style w:type="character" w:styleId="Hyperlink">
    <w:name w:val="Hyperlink"/>
    <w:basedOn w:val="DefaultParagraphFont"/>
    <w:semiHidden/>
    <w:rsid w:val="001840BB"/>
    <w:rPr>
      <w:color w:val="0000FF"/>
      <w:u w:val="single"/>
    </w:rPr>
  </w:style>
  <w:style w:type="paragraph" w:customStyle="1" w:styleId="Liste1">
    <w:name w:val="Liste 1)"/>
    <w:rsid w:val="001840BB"/>
    <w:pPr>
      <w:numPr>
        <w:numId w:val="14"/>
      </w:numPr>
      <w:tabs>
        <w:tab w:val="clear" w:pos="360"/>
      </w:tabs>
      <w:spacing w:before="120" w:line="260" w:lineRule="exact"/>
      <w:ind w:left="567" w:hanging="510"/>
    </w:pPr>
    <w:rPr>
      <w:rFonts w:ascii="Arial" w:hAnsi="Arial"/>
      <w:sz w:val="22"/>
      <w:lang w:val="de-DE"/>
    </w:rPr>
  </w:style>
  <w:style w:type="paragraph" w:customStyle="1" w:styleId="Listea">
    <w:name w:val="Liste a)"/>
    <w:rsid w:val="001840BB"/>
    <w:pPr>
      <w:numPr>
        <w:numId w:val="15"/>
      </w:numPr>
      <w:tabs>
        <w:tab w:val="clear" w:pos="417"/>
      </w:tabs>
      <w:spacing w:before="120" w:line="260" w:lineRule="exact"/>
      <w:ind w:left="567" w:hanging="510"/>
    </w:pPr>
    <w:rPr>
      <w:rFonts w:ascii="Arial" w:hAnsi="Arial"/>
      <w:sz w:val="22"/>
      <w:lang w:val="en-GB"/>
    </w:rPr>
  </w:style>
  <w:style w:type="paragraph" w:styleId="Caption">
    <w:name w:val="caption"/>
    <w:basedOn w:val="Normal"/>
    <w:next w:val="Normal"/>
    <w:qFormat/>
    <w:rsid w:val="001840BB"/>
    <w:pPr>
      <w:spacing w:after="60"/>
    </w:pPr>
    <w:rPr>
      <w:bCs/>
      <w:szCs w:val="20"/>
    </w:rPr>
  </w:style>
  <w:style w:type="paragraph" w:styleId="DocumentMap">
    <w:name w:val="Document Map"/>
    <w:basedOn w:val="Normal"/>
    <w:semiHidden/>
    <w:rsid w:val="001840BB"/>
    <w:pPr>
      <w:shd w:val="clear" w:color="auto" w:fill="000080"/>
    </w:pPr>
    <w:rPr>
      <w:rFonts w:ascii="Tahoma" w:hAnsi="Tahoma" w:cs="Tahoma"/>
    </w:rPr>
  </w:style>
  <w:style w:type="paragraph" w:styleId="TableofFigures">
    <w:name w:val="table of figures"/>
    <w:basedOn w:val="Normal"/>
    <w:next w:val="Normal"/>
    <w:semiHidden/>
    <w:rsid w:val="001840BB"/>
    <w:pPr>
      <w:tabs>
        <w:tab w:val="right" w:pos="9344"/>
      </w:tabs>
    </w:pPr>
  </w:style>
  <w:style w:type="character" w:styleId="CommentReference">
    <w:name w:val="annotation reference"/>
    <w:basedOn w:val="DefaultParagraphFont"/>
    <w:semiHidden/>
    <w:rsid w:val="001840BB"/>
    <w:rPr>
      <w:sz w:val="16"/>
      <w:szCs w:val="16"/>
    </w:rPr>
  </w:style>
  <w:style w:type="paragraph" w:styleId="CommentText">
    <w:name w:val="annotation text"/>
    <w:basedOn w:val="Normal"/>
    <w:link w:val="CommentTextChar"/>
    <w:semiHidden/>
    <w:rsid w:val="001840BB"/>
    <w:pPr>
      <w:spacing w:before="0" w:line="240" w:lineRule="auto"/>
    </w:pPr>
    <w:rPr>
      <w:sz w:val="20"/>
      <w:szCs w:val="20"/>
      <w:lang w:val="fr-FR" w:eastAsia="de-DE"/>
    </w:rPr>
  </w:style>
  <w:style w:type="paragraph" w:styleId="BodyTextIndent">
    <w:name w:val="Body Text Indent"/>
    <w:basedOn w:val="Normal"/>
    <w:semiHidden/>
    <w:rsid w:val="001840BB"/>
    <w:pPr>
      <w:spacing w:before="0" w:line="240" w:lineRule="auto"/>
      <w:ind w:left="567"/>
    </w:pPr>
    <w:rPr>
      <w:sz w:val="18"/>
      <w:szCs w:val="20"/>
      <w:lang w:val="fr-FR" w:eastAsia="de-DE"/>
    </w:rPr>
  </w:style>
  <w:style w:type="paragraph" w:styleId="BodyTextIndent3">
    <w:name w:val="Body Text Indent 3"/>
    <w:basedOn w:val="Normal"/>
    <w:semiHidden/>
    <w:rsid w:val="001840BB"/>
    <w:pPr>
      <w:spacing w:before="0" w:line="240" w:lineRule="auto"/>
      <w:ind w:left="1260" w:hanging="540"/>
    </w:pPr>
    <w:rPr>
      <w:lang w:val="fr-FR" w:eastAsia="fr-FR"/>
    </w:rPr>
  </w:style>
  <w:style w:type="character" w:styleId="FollowedHyperlink">
    <w:name w:val="FollowedHyperlink"/>
    <w:basedOn w:val="DefaultParagraphFont"/>
    <w:semiHidden/>
    <w:rsid w:val="001840BB"/>
    <w:rPr>
      <w:color w:val="800080"/>
      <w:u w:val="single"/>
    </w:rPr>
  </w:style>
  <w:style w:type="paragraph" w:styleId="BalloonText">
    <w:name w:val="Balloon Text"/>
    <w:basedOn w:val="Normal"/>
    <w:link w:val="BalloonTextChar"/>
    <w:uiPriority w:val="99"/>
    <w:semiHidden/>
    <w:unhideWhenUsed/>
    <w:rsid w:val="00A2023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230"/>
    <w:rPr>
      <w:rFonts w:ascii="Tahoma" w:hAnsi="Tahoma" w:cs="Tahoma"/>
      <w:sz w:val="16"/>
      <w:szCs w:val="16"/>
      <w:lang w:eastAsia="en-US"/>
    </w:rPr>
  </w:style>
  <w:style w:type="table" w:styleId="TableGrid">
    <w:name w:val="Table Grid"/>
    <w:basedOn w:val="TableNormal"/>
    <w:uiPriority w:val="59"/>
    <w:rsid w:val="00EC1C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B41816"/>
    <w:pPr>
      <w:spacing w:before="180" w:line="260" w:lineRule="atLeast"/>
    </w:pPr>
    <w:rPr>
      <w:b/>
      <w:bCs/>
      <w:lang w:val="de-CH" w:eastAsia="en-US"/>
    </w:rPr>
  </w:style>
  <w:style w:type="character" w:customStyle="1" w:styleId="CommentTextChar">
    <w:name w:val="Comment Text Char"/>
    <w:basedOn w:val="DefaultParagraphFont"/>
    <w:link w:val="CommentText"/>
    <w:semiHidden/>
    <w:rsid w:val="00B41816"/>
    <w:rPr>
      <w:rFonts w:ascii="Arial" w:hAnsi="Arial"/>
      <w:lang w:val="fr-FR" w:eastAsia="de-DE"/>
    </w:rPr>
  </w:style>
  <w:style w:type="character" w:customStyle="1" w:styleId="CommentSubjectChar">
    <w:name w:val="Comment Subject Char"/>
    <w:basedOn w:val="CommentTextChar"/>
    <w:link w:val="CommentSubject"/>
    <w:rsid w:val="00B41816"/>
  </w:style>
  <w:style w:type="paragraph" w:styleId="NormalWeb">
    <w:name w:val="Normal (Web)"/>
    <w:basedOn w:val="Normal"/>
    <w:uiPriority w:val="99"/>
    <w:semiHidden/>
    <w:unhideWhenUsed/>
    <w:rsid w:val="00B30336"/>
    <w:pPr>
      <w:spacing w:before="100" w:beforeAutospacing="1" w:after="100" w:afterAutospacing="1" w:line="240" w:lineRule="auto"/>
    </w:pPr>
    <w:rPr>
      <w:rFonts w:cs="Arial"/>
      <w:color w:val="000000"/>
      <w:sz w:val="11"/>
      <w:szCs w:val="11"/>
      <w:lang w:eastAsia="de-CH"/>
    </w:rPr>
  </w:style>
  <w:style w:type="paragraph" w:customStyle="1" w:styleId="Listenabsatz">
    <w:name w:val="Listenabsatz"/>
    <w:basedOn w:val="Normal"/>
    <w:uiPriority w:val="34"/>
    <w:qFormat/>
    <w:rsid w:val="001838C7"/>
    <w:pPr>
      <w:ind w:left="720"/>
    </w:pPr>
  </w:style>
</w:styles>
</file>

<file path=word/webSettings.xml><?xml version="1.0" encoding="utf-8"?>
<w:webSettings xmlns:r="http://schemas.openxmlformats.org/officeDocument/2006/relationships" xmlns:w="http://schemas.openxmlformats.org/wordprocessingml/2006/main">
  <w:divs>
    <w:div w:id="936449938">
      <w:bodyDiv w:val="1"/>
      <w:marLeft w:val="0"/>
      <w:marRight w:val="0"/>
      <w:marTop w:val="0"/>
      <w:marBottom w:val="0"/>
      <w:divBdr>
        <w:top w:val="none" w:sz="0" w:space="0" w:color="auto"/>
        <w:left w:val="none" w:sz="0" w:space="0" w:color="auto"/>
        <w:bottom w:val="none" w:sz="0" w:space="0" w:color="auto"/>
        <w:right w:val="none" w:sz="0" w:space="0" w:color="auto"/>
      </w:divBdr>
    </w:div>
    <w:div w:id="195081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2065</Words>
  <Characters>11308</Characters>
  <Application>Microsoft Office Word</Application>
  <DocSecurity>0</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DMS</vt:lpstr>
      <vt:lpstr>DMS</vt:lpstr>
    </vt:vector>
  </TitlesOfParts>
  <Company>SECO</Company>
  <LinksUpToDate>false</LinksUpToDate>
  <CharactersWithSpaces>13347</CharactersWithSpaces>
  <SharedDoc>false</SharedDoc>
  <HLinks>
    <vt:vector size="24" baseType="variant">
      <vt:variant>
        <vt:i4>2031623</vt:i4>
      </vt:variant>
      <vt:variant>
        <vt:i4>18</vt:i4>
      </vt:variant>
      <vt:variant>
        <vt:i4>0</vt:i4>
      </vt:variant>
      <vt:variant>
        <vt:i4>5</vt:i4>
      </vt:variant>
      <vt:variant>
        <vt:lpwstr/>
      </vt:variant>
      <vt:variant>
        <vt:lpwstr>OutputInd</vt:lpwstr>
      </vt:variant>
      <vt:variant>
        <vt:i4>7536762</vt:i4>
      </vt:variant>
      <vt:variant>
        <vt:i4>15</vt:i4>
      </vt:variant>
      <vt:variant>
        <vt:i4>0</vt:i4>
      </vt:variant>
      <vt:variant>
        <vt:i4>5</vt:i4>
      </vt:variant>
      <vt:variant>
        <vt:lpwstr/>
      </vt:variant>
      <vt:variant>
        <vt:lpwstr>Prores</vt:lpwstr>
      </vt:variant>
      <vt:variant>
        <vt:i4>7798909</vt:i4>
      </vt:variant>
      <vt:variant>
        <vt:i4>9</vt:i4>
      </vt:variant>
      <vt:variant>
        <vt:i4>0</vt:i4>
      </vt:variant>
      <vt:variant>
        <vt:i4>5</vt:i4>
      </vt:variant>
      <vt:variant>
        <vt:lpwstr/>
      </vt:variant>
      <vt:variant>
        <vt:lpwstr>Proobj</vt:lpwstr>
      </vt:variant>
      <vt:variant>
        <vt:i4>6291552</vt:i4>
      </vt:variant>
      <vt:variant>
        <vt:i4>0</vt:i4>
      </vt:variant>
      <vt:variant>
        <vt:i4>0</vt:i4>
      </vt:variant>
      <vt:variant>
        <vt:i4>5</vt:i4>
      </vt:variant>
      <vt:variant>
        <vt:lpwstr/>
      </vt:variant>
      <vt:variant>
        <vt:lpwstr>Defobj</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DMS</dc:title>
  <dc:creator>Carole Schmid</dc:creator>
  <dc:description>Vorlage erstellt von Jörg Grabinski_x000d_
Abgenommen durch Fachstelle CD-Bund_x000d_
am 24.10.2006</dc:description>
  <cp:lastModifiedBy>wb82643</cp:lastModifiedBy>
  <cp:revision>6</cp:revision>
  <cp:lastPrinted>2009-04-22T20:00:00Z</cp:lastPrinted>
  <dcterms:created xsi:type="dcterms:W3CDTF">2009-04-22T19:15:00Z</dcterms:created>
  <dcterms:modified xsi:type="dcterms:W3CDTF">2009-04-22T20:12:00Z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2009-03-04/456</vt:lpwstr>
  </property>
  <property fmtid="{D5CDD505-2E9C-101B-9397-08002B2CF9AE}" pid="3" name="FSC#EVDCFG@15.1400:DossierBarCode">
    <vt:lpwstr>*COO.2101.104.7.986*</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COO.2101.104.5.1549488</vt:lpwstr>
  </property>
  <property fmtid="{D5CDD505-2E9C-101B-9397-08002B2CF9AE}" pid="11" name="FSC#COOELAK@1.1001:Subject">
    <vt:lpwstr>Projets régionaux en Europe, CEI, Asie Centrale</vt:lpwstr>
  </property>
  <property fmtid="{D5CDD505-2E9C-101B-9397-08002B2CF9AE}" pid="12" name="FSC#COOELAK@1.1001:FileReference">
    <vt:lpwstr>Projets Europe, CEI, Asie Centrale (852.2/2005/02053)</vt:lpwstr>
  </property>
  <property fmtid="{D5CDD505-2E9C-101B-9397-08002B2CF9AE}" pid="13" name="FSC#COOELAK@1.1001:FileRefYear">
    <vt:lpwstr>2005</vt:lpwstr>
  </property>
  <property fmtid="{D5CDD505-2E9C-101B-9397-08002B2CF9AE}" pid="14" name="FSC#COOELAK@1.1001:FileRefOrdinal">
    <vt:lpwstr>2053</vt:lpwstr>
  </property>
  <property fmtid="{D5CDD505-2E9C-101B-9397-08002B2CF9AE}" pid="15" name="FSC#COOELAK@1.1001:FileRefOU">
    <vt:lpwstr>WEIF /seco inaktiv</vt:lpwstr>
  </property>
  <property fmtid="{D5CDD505-2E9C-101B-9397-08002B2CF9AE}" pid="16" name="FSC#COOELAK@1.1001:Organization">
    <vt:lpwstr/>
  </property>
  <property fmtid="{D5CDD505-2E9C-101B-9397-08002B2CF9AE}" pid="17" name="FSC#COOELAK@1.1001:Owner">
    <vt:lpwstr> seco Knecht</vt:lpwstr>
  </property>
  <property fmtid="{D5CDD505-2E9C-101B-9397-08002B2CF9AE}" pid="18" name="FSC#COOELAK@1.1001:OwnerExtension">
    <vt:lpwstr>+41 (31) 324 07 63</vt:lpwstr>
  </property>
  <property fmtid="{D5CDD505-2E9C-101B-9397-08002B2CF9AE}" pid="19" name="FSC#COOELAK@1.1001:OwnerFaxExtension">
    <vt:lpwstr>+41 (31) 324 09 60</vt:lpwstr>
  </property>
  <property fmtid="{D5CDD505-2E9C-101B-9397-08002B2CF9AE}" pid="20" name="FSC#COOELAK@1.1001:DispatchedBy">
    <vt:lpwstr/>
  </property>
  <property fmtid="{D5CDD505-2E9C-101B-9397-08002B2CF9AE}" pid="21" name="FSC#COOELAK@1.1001:DispatchedAt">
    <vt:lpwstr/>
  </property>
  <property fmtid="{D5CDD505-2E9C-101B-9397-08002B2CF9AE}" pid="22" name="FSC#COOELAK@1.1001:ApprovedBy">
    <vt:lpwstr/>
  </property>
  <property fmtid="{D5CDD505-2E9C-101B-9397-08002B2CF9AE}" pid="23" name="FSC#COOELAK@1.1001:ApprovedAt">
    <vt:lpwstr/>
  </property>
  <property fmtid="{D5CDD505-2E9C-101B-9397-08002B2CF9AE}" pid="24" name="FSC#COOELAK@1.1001:Department">
    <vt:lpwstr>Privatsektorförderung (WEIF /seco)</vt:lpwstr>
  </property>
  <property fmtid="{D5CDD505-2E9C-101B-9397-08002B2CF9AE}" pid="25" name="FSC#COOELAK@1.1001:CreatedAt">
    <vt:lpwstr>04.03.2009 16:19:27</vt:lpwstr>
  </property>
  <property fmtid="{D5CDD505-2E9C-101B-9397-08002B2CF9AE}" pid="26" name="FSC#COOELAK@1.1001:OU">
    <vt:lpwstr>Privatsektorförderung (WEIF /seco)</vt:lpwstr>
  </property>
  <property fmtid="{D5CDD505-2E9C-101B-9397-08002B2CF9AE}" pid="27" name="FSC#COOELAK@1.1001:Priority">
    <vt:lpwstr/>
  </property>
  <property fmtid="{D5CDD505-2E9C-101B-9397-08002B2CF9AE}" pid="28" name="FSC#COOELAK@1.1001:ObjBarCode">
    <vt:lpwstr>*COO.2101.104.5.1549488*</vt:lpwstr>
  </property>
  <property fmtid="{D5CDD505-2E9C-101B-9397-08002B2CF9AE}" pid="29" name="FSC#COOELAK@1.1001:RefBarCode">
    <vt:lpwstr>*SECE CRIF Entscheid*</vt:lpwstr>
  </property>
  <property fmtid="{D5CDD505-2E9C-101B-9397-08002B2CF9AE}" pid="30" name="FSC#COOELAK@1.1001:FileRefBarCode">
    <vt:lpwstr>*Projets Europe, CEI, Asie Centrale (852.2/2005/02053)*</vt:lpwstr>
  </property>
  <property fmtid="{D5CDD505-2E9C-101B-9397-08002B2CF9AE}" pid="31" name="FSC#COOELAK@1.1001:ExternalRef">
    <vt:lpwstr/>
  </property>
  <property fmtid="{D5CDD505-2E9C-101B-9397-08002B2CF9AE}" pid="32" name="FSC#COOELAK@1.1001:IncomingNumber">
    <vt:lpwstr/>
  </property>
  <property fmtid="{D5CDD505-2E9C-101B-9397-08002B2CF9AE}" pid="33" name="FSC#COOELAK@1.1001:IncomingSubject">
    <vt:lpwstr/>
  </property>
  <property fmtid="{D5CDD505-2E9C-101B-9397-08002B2CF9AE}" pid="34" name="FSC#COOELAK@1.1001:ProcessResponsible">
    <vt:lpwstr/>
  </property>
  <property fmtid="{D5CDD505-2E9C-101B-9397-08002B2CF9AE}" pid="35" name="FSC#COOELAK@1.1001:ProcessResponsiblePhone">
    <vt:lpwstr/>
  </property>
  <property fmtid="{D5CDD505-2E9C-101B-9397-08002B2CF9AE}" pid="36" name="FSC#COOELAK@1.1001:ProcessResponsibleMail">
    <vt:lpwstr/>
  </property>
  <property fmtid="{D5CDD505-2E9C-101B-9397-08002B2CF9AE}" pid="37" name="FSC#COOELAK@1.1001:ProcessResponsibleFax">
    <vt:lpwstr/>
  </property>
  <property fmtid="{D5CDD505-2E9C-101B-9397-08002B2CF9AE}" pid="38" name="FSC#COOELAK@1.1001:ApproverFirstName">
    <vt:lpwstr/>
  </property>
  <property fmtid="{D5CDD505-2E9C-101B-9397-08002B2CF9AE}" pid="39" name="FSC#COOELAK@1.1001:ApproverSurName">
    <vt:lpwstr/>
  </property>
  <property fmtid="{D5CDD505-2E9C-101B-9397-08002B2CF9AE}" pid="40" name="FSC#COOELAK@1.1001:ApproverTitle">
    <vt:lpwstr/>
  </property>
  <property fmtid="{D5CDD505-2E9C-101B-9397-08002B2CF9AE}" pid="41" name="FSC#COOELAK@1.1001:ExternalDate">
    <vt:lpwstr/>
  </property>
  <property fmtid="{D5CDD505-2E9C-101B-9397-08002B2CF9AE}" pid="42" name="FSC#COOELAK@1.1001:SettlementApprovedAt">
    <vt:lpwstr/>
  </property>
  <property fmtid="{D5CDD505-2E9C-101B-9397-08002B2CF9AE}" pid="43" name="FSC#COOELAK@1.1001:BaseNumber">
    <vt:lpwstr/>
  </property>
  <property fmtid="{D5CDD505-2E9C-101B-9397-08002B2CF9AE}" pid="44" name="FSC#ELAKGOV@1.1001:PersonalSubjGender">
    <vt:lpwstr/>
  </property>
  <property fmtid="{D5CDD505-2E9C-101B-9397-08002B2CF9AE}" pid="45" name="FSC#ELAKGOV@1.1001:PersonalSubjFirstName">
    <vt:lpwstr/>
  </property>
  <property fmtid="{D5CDD505-2E9C-101B-9397-08002B2CF9AE}" pid="46" name="FSC#ELAKGOV@1.1001:PersonalSubjSurName">
    <vt:lpwstr/>
  </property>
  <property fmtid="{D5CDD505-2E9C-101B-9397-08002B2CF9AE}" pid="47" name="FSC#ELAKGOV@1.1001:PersonalSubjSalutation">
    <vt:lpwstr/>
  </property>
  <property fmtid="{D5CDD505-2E9C-101B-9397-08002B2CF9AE}" pid="48" name="FSC#ELAKGOV@1.1001:PersonalSubjAddress">
    <vt:lpwstr/>
  </property>
  <property fmtid="{D5CDD505-2E9C-101B-9397-08002B2CF9AE}" pid="49" name="FSC#EVDCFG@15.1400:PositionNumber">
    <vt:lpwstr>852.2</vt:lpwstr>
  </property>
  <property fmtid="{D5CDD505-2E9C-101B-9397-08002B2CF9AE}" pid="50" name="FSC#EVDCFG@15.1400:Dossierref">
    <vt:lpwstr>852.2/2005/02053</vt:lpwstr>
  </property>
  <property fmtid="{D5CDD505-2E9C-101B-9397-08002B2CF9AE}" pid="51" name="FSC#EVDCFG@15.1400:FileRespEmail">
    <vt:lpwstr>thomas.knecht@seco.admin.ch</vt:lpwstr>
  </property>
  <property fmtid="{D5CDD505-2E9C-101B-9397-08002B2CF9AE}" pid="52" name="FSC#EVDCFG@15.1400:FileRespFax">
    <vt:lpwstr>+41 (31) 324 09 60</vt:lpwstr>
  </property>
  <property fmtid="{D5CDD505-2E9C-101B-9397-08002B2CF9AE}" pid="53" name="FSC#EVDCFG@15.1400:FileRespHome">
    <vt:lpwstr>Bern</vt:lpwstr>
  </property>
  <property fmtid="{D5CDD505-2E9C-101B-9397-08002B2CF9AE}" pid="54" name="FSC#EVDCFG@15.1400:FileResponsible">
    <vt:lpwstr>Thomas Knecht</vt:lpwstr>
  </property>
  <property fmtid="{D5CDD505-2E9C-101B-9397-08002B2CF9AE}" pid="55" name="FSC#EVDCFG@15.1400:FileRespOrg">
    <vt:lpwstr>Privatsektorförderung</vt:lpwstr>
  </property>
  <property fmtid="{D5CDD505-2E9C-101B-9397-08002B2CF9AE}" pid="56" name="FSC#EVDCFG@15.1400:FileRespOrgHome">
    <vt:lpwstr/>
  </property>
  <property fmtid="{D5CDD505-2E9C-101B-9397-08002B2CF9AE}" pid="57" name="FSC#EVDCFG@15.1400:FileRespOrgStreet">
    <vt:lpwstr/>
  </property>
  <property fmtid="{D5CDD505-2E9C-101B-9397-08002B2CF9AE}" pid="58" name="FSC#EVDCFG@15.1400:FileRespOrgZipCode">
    <vt:lpwstr/>
  </property>
  <property fmtid="{D5CDD505-2E9C-101B-9397-08002B2CF9AE}" pid="59" name="FSC#EVDCFG@15.1400:FileRespshortsign">
    <vt:lpwstr>kne</vt:lpwstr>
  </property>
  <property fmtid="{D5CDD505-2E9C-101B-9397-08002B2CF9AE}" pid="60" name="FSC#EVDCFG@15.1400:FileRespStreet">
    <vt:lpwstr>Effingerstrasse 1</vt:lpwstr>
  </property>
  <property fmtid="{D5CDD505-2E9C-101B-9397-08002B2CF9AE}" pid="61" name="FSC#EVDCFG@15.1400:FileRespTel">
    <vt:lpwstr>+41 (31) 324 07 63</vt:lpwstr>
  </property>
  <property fmtid="{D5CDD505-2E9C-101B-9397-08002B2CF9AE}" pid="62" name="FSC#EVDCFG@15.1400:FileRespZipCode">
    <vt:lpwstr>3003</vt:lpwstr>
  </property>
  <property fmtid="{D5CDD505-2E9C-101B-9397-08002B2CF9AE}" pid="63" name="FSC#EVDCFG@15.1400:OutAttachElectr">
    <vt:lpwstr/>
  </property>
  <property fmtid="{D5CDD505-2E9C-101B-9397-08002B2CF9AE}" pid="64" name="FSC#EVDCFG@15.1400:OutAttachPhysic">
    <vt:lpwstr/>
  </property>
  <property fmtid="{D5CDD505-2E9C-101B-9397-08002B2CF9AE}" pid="65" name="FSC#EVDCFG@15.1400:SignAcceptedDraft1">
    <vt:lpwstr/>
  </property>
  <property fmtid="{D5CDD505-2E9C-101B-9397-08002B2CF9AE}" pid="66" name="FSC#EVDCFG@15.1400:SignAcceptedDraft1FR">
    <vt:lpwstr/>
  </property>
  <property fmtid="{D5CDD505-2E9C-101B-9397-08002B2CF9AE}" pid="67" name="FSC#EVDCFG@15.1400:SignAcceptedDraft2">
    <vt:lpwstr/>
  </property>
  <property fmtid="{D5CDD505-2E9C-101B-9397-08002B2CF9AE}" pid="68" name="FSC#EVDCFG@15.1400:SignAcceptedDraft2FR">
    <vt:lpwstr/>
  </property>
  <property fmtid="{D5CDD505-2E9C-101B-9397-08002B2CF9AE}" pid="69" name="FSC#EVDCFG@15.1400:SignApproved1">
    <vt:lpwstr/>
  </property>
  <property fmtid="{D5CDD505-2E9C-101B-9397-08002B2CF9AE}" pid="70" name="FSC#EVDCFG@15.1400:SignApproved1FR">
    <vt:lpwstr/>
  </property>
  <property fmtid="{D5CDD505-2E9C-101B-9397-08002B2CF9AE}" pid="71" name="FSC#EVDCFG@15.1400:SignApproved2">
    <vt:lpwstr/>
  </property>
  <property fmtid="{D5CDD505-2E9C-101B-9397-08002B2CF9AE}" pid="72" name="FSC#EVDCFG@15.1400:SignApproved2FR">
    <vt:lpwstr/>
  </property>
  <property fmtid="{D5CDD505-2E9C-101B-9397-08002B2CF9AE}" pid="73" name="FSC#EVDCFG@15.1400:SubDossierBarCode">
    <vt:lpwstr>*COO.2101.104.6.983535*</vt:lpwstr>
  </property>
  <property fmtid="{D5CDD505-2E9C-101B-9397-08002B2CF9AE}" pid="74" name="FSC#EVDCFG@15.1400:Subject">
    <vt:lpwstr/>
  </property>
  <property fmtid="{D5CDD505-2E9C-101B-9397-08002B2CF9AE}" pid="75" name="FSC#EVDCFG@15.1400:Title">
    <vt:lpwstr>Entscheid</vt:lpwstr>
  </property>
  <property fmtid="{D5CDD505-2E9C-101B-9397-08002B2CF9AE}" pid="76" name="FSC#EVDCFG@15.1400:UserFunction">
    <vt:lpwstr/>
  </property>
  <property fmtid="{D5CDD505-2E9C-101B-9397-08002B2CF9AE}" pid="77" name="FSC#EVDCFG@15.1400:SalutationEnglish">
    <vt:lpwstr>Economic Cooperation and Development_x000d_
Private Sector Development</vt:lpwstr>
  </property>
  <property fmtid="{D5CDD505-2E9C-101B-9397-08002B2CF9AE}" pid="78" name="FSC#EVDCFG@15.1400:SalutationFrench">
    <vt:lpwstr>Coopération et Développement économiques_x000d_
Développement du secteur privé</vt:lpwstr>
  </property>
  <property fmtid="{D5CDD505-2E9C-101B-9397-08002B2CF9AE}" pid="79" name="FSC#EVDCFG@15.1400:SalutationGerman">
    <vt:lpwstr>Wirtschaftliche Zusammenarbeit und Entwicklung_x000d_
Privatsektorförderung</vt:lpwstr>
  </property>
  <property fmtid="{D5CDD505-2E9C-101B-9397-08002B2CF9AE}" pid="80" name="FSC#EVDCFG@15.1400:SalutationItalian">
    <vt:lpwstr>Cooperazione e sviluppo economici_x000d_
Sviluppo del settore privato</vt:lpwstr>
  </property>
  <property fmtid="{D5CDD505-2E9C-101B-9397-08002B2CF9AE}" pid="81" name="FSC#EVDCFG@15.1400:SalutationEnglishUser">
    <vt:lpwstr/>
  </property>
  <property fmtid="{D5CDD505-2E9C-101B-9397-08002B2CF9AE}" pid="82" name="FSC#EVDCFG@15.1400:SalutationFrenchUser">
    <vt:lpwstr/>
  </property>
  <property fmtid="{D5CDD505-2E9C-101B-9397-08002B2CF9AE}" pid="83" name="FSC#EVDCFG@15.1400:SalutationGermanUser">
    <vt:lpwstr/>
  </property>
  <property fmtid="{D5CDD505-2E9C-101B-9397-08002B2CF9AE}" pid="84" name="FSC#EVDCFG@15.1400:SalutationItalianUser">
    <vt:lpwstr/>
  </property>
  <property fmtid="{D5CDD505-2E9C-101B-9397-08002B2CF9AE}" pid="85" name="FSC#EVDCFG@15.1400:UserInCharge">
    <vt:lpwstr/>
  </property>
  <property fmtid="{D5CDD505-2E9C-101B-9397-08002B2CF9AE}" pid="86" name="FSC#EVDCFG@15.1400:FileRespOrgShortname">
    <vt:lpwstr>WEIF /seco</vt:lpwstr>
  </property>
</Properties>
</file>